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31781" w:rsidRDefault="00BD3BDC">
      <w:pPr>
        <w:rPr>
          <w:rFonts w:ascii="Times New Roman" w:hAnsi="Times New Roman"/>
        </w:rPr>
      </w:pPr>
      <w:r>
        <w:rPr>
          <w:rFonts w:ascii="Times New Roman" w:hAnsi="Times New Roman"/>
        </w:rPr>
        <w:t>RESEARCH MATTERS: THE LONG REACH OF THE MODEL OF THE INFORMATION SEARCH PROCESS (ISP)</w:t>
      </w:r>
    </w:p>
    <w:p w:rsidR="005E5D03" w:rsidRDefault="005E5D03">
      <w:pPr>
        <w:rPr>
          <w:rFonts w:ascii="Times New Roman" w:hAnsi="Times New Roman"/>
        </w:rPr>
      </w:pPr>
      <w:r>
        <w:rPr>
          <w:rFonts w:ascii="Times New Roman" w:hAnsi="Times New Roman"/>
        </w:rPr>
        <w:t>Carol C. Kuhlthau</w:t>
      </w:r>
      <w:r w:rsidR="001026E3">
        <w:rPr>
          <w:rFonts w:ascii="Times New Roman" w:hAnsi="Times New Roman"/>
        </w:rPr>
        <w:t xml:space="preserve"> </w:t>
      </w:r>
    </w:p>
    <w:p w:rsidR="005E5D03" w:rsidRDefault="005E5D03">
      <w:pPr>
        <w:rPr>
          <w:rFonts w:ascii="Times New Roman" w:hAnsi="Times New Roman"/>
        </w:rPr>
      </w:pPr>
      <w:r>
        <w:rPr>
          <w:rFonts w:ascii="Times New Roman" w:hAnsi="Times New Roman"/>
        </w:rPr>
        <w:t xml:space="preserve">Professor </w:t>
      </w:r>
      <w:proofErr w:type="spellStart"/>
      <w:r>
        <w:rPr>
          <w:rFonts w:ascii="Times New Roman" w:hAnsi="Times New Roman"/>
        </w:rPr>
        <w:t>Emerita</w:t>
      </w:r>
      <w:proofErr w:type="spellEnd"/>
      <w:r>
        <w:rPr>
          <w:rFonts w:ascii="Times New Roman" w:hAnsi="Times New Roman"/>
        </w:rPr>
        <w:t>, Library and Information Science, Rutgers University</w:t>
      </w:r>
    </w:p>
    <w:p w:rsidR="00D31781" w:rsidRDefault="005E5D03">
      <w:pPr>
        <w:rPr>
          <w:rFonts w:ascii="Times New Roman" w:hAnsi="Times New Roman"/>
        </w:rPr>
      </w:pPr>
      <w:r>
        <w:rPr>
          <w:rFonts w:ascii="Times New Roman" w:hAnsi="Times New Roman"/>
        </w:rPr>
        <w:t>The Center for International Scholarship in School Libraries (CISSL)</w:t>
      </w:r>
    </w:p>
    <w:p w:rsidR="0021033D" w:rsidRDefault="0021033D">
      <w:pPr>
        <w:rPr>
          <w:rFonts w:ascii="Times New Roman" w:hAnsi="Times New Roman"/>
        </w:rPr>
      </w:pPr>
    </w:p>
    <w:p w:rsidR="003A36AE" w:rsidRDefault="00172CD1" w:rsidP="00FA0D36">
      <w:pPr>
        <w:rPr>
          <w:rFonts w:ascii="Times New Roman" w:hAnsi="Times New Roman"/>
        </w:rPr>
      </w:pPr>
      <w:r>
        <w:rPr>
          <w:rFonts w:ascii="Times New Roman" w:hAnsi="Times New Roman"/>
        </w:rPr>
        <w:t>Youth services in public and school l</w:t>
      </w:r>
      <w:r w:rsidR="00B437EE">
        <w:rPr>
          <w:rFonts w:ascii="Times New Roman" w:hAnsi="Times New Roman"/>
        </w:rPr>
        <w:t>ibraries are</w:t>
      </w:r>
      <w:r w:rsidR="00097642">
        <w:rPr>
          <w:rFonts w:ascii="Times New Roman" w:hAnsi="Times New Roman"/>
        </w:rPr>
        <w:t xml:space="preserve"> grounded in a long</w:t>
      </w:r>
      <w:r w:rsidR="00D86A3E">
        <w:rPr>
          <w:rFonts w:ascii="Times New Roman" w:hAnsi="Times New Roman"/>
        </w:rPr>
        <w:t xml:space="preserve"> tradition</w:t>
      </w:r>
      <w:r w:rsidR="00097642">
        <w:rPr>
          <w:rFonts w:ascii="Times New Roman" w:hAnsi="Times New Roman"/>
        </w:rPr>
        <w:t xml:space="preserve"> </w:t>
      </w:r>
      <w:r w:rsidR="00EF722F">
        <w:rPr>
          <w:rFonts w:ascii="Times New Roman" w:hAnsi="Times New Roman"/>
        </w:rPr>
        <w:t xml:space="preserve">of best practice </w:t>
      </w:r>
      <w:r>
        <w:rPr>
          <w:rFonts w:ascii="Times New Roman" w:hAnsi="Times New Roman"/>
        </w:rPr>
        <w:t xml:space="preserve">and </w:t>
      </w:r>
      <w:r w:rsidR="00A76E7B">
        <w:rPr>
          <w:rFonts w:ascii="Times New Roman" w:hAnsi="Times New Roman"/>
        </w:rPr>
        <w:t>the continuing innovation of</w:t>
      </w:r>
      <w:r w:rsidR="00D86A3E">
        <w:rPr>
          <w:rFonts w:ascii="Times New Roman" w:hAnsi="Times New Roman"/>
        </w:rPr>
        <w:t xml:space="preserve"> </w:t>
      </w:r>
      <w:r w:rsidR="00097642">
        <w:rPr>
          <w:rFonts w:ascii="Times New Roman" w:hAnsi="Times New Roman"/>
        </w:rPr>
        <w:t xml:space="preserve">experienced </w:t>
      </w:r>
      <w:r w:rsidR="00D86A3E">
        <w:rPr>
          <w:rFonts w:ascii="Times New Roman" w:hAnsi="Times New Roman"/>
        </w:rPr>
        <w:t>practitioners</w:t>
      </w:r>
      <w:r w:rsidR="004F25F2">
        <w:rPr>
          <w:rFonts w:ascii="Times New Roman" w:hAnsi="Times New Roman"/>
        </w:rPr>
        <w:t xml:space="preserve"> but research matters. </w:t>
      </w:r>
      <w:r w:rsidR="00AA57E0">
        <w:rPr>
          <w:rFonts w:ascii="Times New Roman" w:hAnsi="Times New Roman"/>
        </w:rPr>
        <w:t xml:space="preserve"> </w:t>
      </w:r>
      <w:r w:rsidR="00B437EE">
        <w:rPr>
          <w:rFonts w:ascii="Times New Roman" w:hAnsi="Times New Roman"/>
        </w:rPr>
        <w:t>Where</w:t>
      </w:r>
      <w:r w:rsidR="00EF722F">
        <w:rPr>
          <w:rFonts w:ascii="Times New Roman" w:hAnsi="Times New Roman"/>
        </w:rPr>
        <w:t xml:space="preserve"> </w:t>
      </w:r>
      <w:r w:rsidR="00A76E7B">
        <w:rPr>
          <w:rFonts w:ascii="Times New Roman" w:hAnsi="Times New Roman"/>
        </w:rPr>
        <w:t xml:space="preserve">research has been combined with </w:t>
      </w:r>
      <w:r w:rsidR="00B437EE">
        <w:rPr>
          <w:rFonts w:ascii="Times New Roman" w:hAnsi="Times New Roman"/>
        </w:rPr>
        <w:t>tra</w:t>
      </w:r>
      <w:r w:rsidR="00A76E7B">
        <w:rPr>
          <w:rFonts w:ascii="Times New Roman" w:hAnsi="Times New Roman"/>
        </w:rPr>
        <w:t>dition and experience</w:t>
      </w:r>
      <w:r w:rsidR="00EF722F">
        <w:rPr>
          <w:rFonts w:ascii="Times New Roman" w:hAnsi="Times New Roman"/>
        </w:rPr>
        <w:t>, services for youth have benefited significantly</w:t>
      </w:r>
      <w:r w:rsidR="004F25F2">
        <w:rPr>
          <w:rFonts w:ascii="Times New Roman" w:hAnsi="Times New Roman"/>
        </w:rPr>
        <w:t xml:space="preserve">. </w:t>
      </w:r>
      <w:r w:rsidR="003A36AE">
        <w:rPr>
          <w:rFonts w:ascii="Times New Roman" w:hAnsi="Times New Roman"/>
        </w:rPr>
        <w:t xml:space="preserve">Research provides insight into problems that are not apparent through the lens of tradition and experience.  </w:t>
      </w:r>
      <w:r w:rsidR="00EF722F">
        <w:rPr>
          <w:rFonts w:ascii="Times New Roman" w:hAnsi="Times New Roman"/>
        </w:rPr>
        <w:t xml:space="preserve">The triad of tradition, experience and research work together to </w:t>
      </w:r>
      <w:proofErr w:type="gramStart"/>
      <w:r w:rsidR="00EF722F">
        <w:rPr>
          <w:rFonts w:ascii="Times New Roman" w:hAnsi="Times New Roman"/>
        </w:rPr>
        <w:t>build</w:t>
      </w:r>
      <w:r w:rsidR="004F25F2">
        <w:rPr>
          <w:rFonts w:ascii="Times New Roman" w:hAnsi="Times New Roman"/>
        </w:rPr>
        <w:t>,</w:t>
      </w:r>
      <w:proofErr w:type="gramEnd"/>
      <w:r w:rsidR="001026E3">
        <w:rPr>
          <w:rFonts w:ascii="Times New Roman" w:hAnsi="Times New Roman"/>
        </w:rPr>
        <w:t xml:space="preserve"> sustain and deepen the field.</w:t>
      </w:r>
      <w:r w:rsidR="003C1D94">
        <w:rPr>
          <w:rFonts w:ascii="Times New Roman" w:hAnsi="Times New Roman"/>
        </w:rPr>
        <w:t xml:space="preserve"> T</w:t>
      </w:r>
      <w:r w:rsidR="00AA57E0">
        <w:rPr>
          <w:rFonts w:ascii="Times New Roman" w:hAnsi="Times New Roman"/>
        </w:rPr>
        <w:t xml:space="preserve">he model of the </w:t>
      </w:r>
      <w:r w:rsidR="00A76E7B">
        <w:rPr>
          <w:rFonts w:ascii="Times New Roman" w:hAnsi="Times New Roman"/>
        </w:rPr>
        <w:t>information search process i</w:t>
      </w:r>
      <w:r w:rsidR="003A36AE">
        <w:rPr>
          <w:rFonts w:ascii="Times New Roman" w:hAnsi="Times New Roman"/>
        </w:rPr>
        <w:t>s an example of how r</w:t>
      </w:r>
      <w:r w:rsidR="00AA57E0">
        <w:rPr>
          <w:rFonts w:ascii="Times New Roman" w:hAnsi="Times New Roman"/>
        </w:rPr>
        <w:t>esearch can impact practice in important long lasting ways</w:t>
      </w:r>
      <w:r w:rsidR="003A36AE">
        <w:rPr>
          <w:rFonts w:ascii="Times New Roman" w:hAnsi="Times New Roman"/>
        </w:rPr>
        <w:t>.</w:t>
      </w:r>
      <w:r w:rsidR="00097642">
        <w:rPr>
          <w:rFonts w:ascii="Times New Roman" w:hAnsi="Times New Roman"/>
        </w:rPr>
        <w:t xml:space="preserve"> </w:t>
      </w:r>
      <w:r>
        <w:rPr>
          <w:rFonts w:ascii="Times New Roman" w:hAnsi="Times New Roman"/>
        </w:rPr>
        <w:t xml:space="preserve"> </w:t>
      </w:r>
      <w:r w:rsidR="00AA57E0">
        <w:rPr>
          <w:rFonts w:ascii="Times New Roman" w:hAnsi="Times New Roman"/>
        </w:rPr>
        <w:t xml:space="preserve">Through this research I discovered five steps to conducting research that matters.  </w:t>
      </w:r>
      <w:r w:rsidR="003A36AE">
        <w:rPr>
          <w:rFonts w:ascii="Times New Roman" w:hAnsi="Times New Roman"/>
        </w:rPr>
        <w:t xml:space="preserve"> </w:t>
      </w:r>
    </w:p>
    <w:p w:rsidR="003A36AE" w:rsidRDefault="003A36AE" w:rsidP="003A36AE">
      <w:pPr>
        <w:pStyle w:val="ListParagraph"/>
        <w:numPr>
          <w:ilvl w:val="0"/>
          <w:numId w:val="1"/>
        </w:numPr>
        <w:rPr>
          <w:rFonts w:ascii="Times New Roman" w:hAnsi="Times New Roman"/>
        </w:rPr>
      </w:pPr>
      <w:r>
        <w:rPr>
          <w:rFonts w:ascii="Times New Roman" w:hAnsi="Times New Roman"/>
        </w:rPr>
        <w:t>Start with a real problem</w:t>
      </w:r>
    </w:p>
    <w:p w:rsidR="003A36AE" w:rsidRDefault="003A36AE" w:rsidP="003A36AE">
      <w:pPr>
        <w:pStyle w:val="ListParagraph"/>
        <w:numPr>
          <w:ilvl w:val="0"/>
          <w:numId w:val="1"/>
        </w:numPr>
        <w:rPr>
          <w:rFonts w:ascii="Times New Roman" w:hAnsi="Times New Roman"/>
        </w:rPr>
      </w:pPr>
      <w:r>
        <w:rPr>
          <w:rFonts w:ascii="Times New Roman" w:hAnsi="Times New Roman"/>
        </w:rPr>
        <w:t>Stay with the problem to verify and test the findings in a variety of contexts</w:t>
      </w:r>
    </w:p>
    <w:p w:rsidR="003A36AE" w:rsidRDefault="003A36AE" w:rsidP="003A36AE">
      <w:pPr>
        <w:pStyle w:val="ListParagraph"/>
        <w:numPr>
          <w:ilvl w:val="0"/>
          <w:numId w:val="1"/>
        </w:numPr>
        <w:rPr>
          <w:rFonts w:ascii="Times New Roman" w:hAnsi="Times New Roman"/>
        </w:rPr>
      </w:pPr>
      <w:r>
        <w:rPr>
          <w:rFonts w:ascii="Times New Roman" w:hAnsi="Times New Roman"/>
        </w:rPr>
        <w:t>Develop concepts from the findings</w:t>
      </w:r>
    </w:p>
    <w:p w:rsidR="003A36AE" w:rsidRPr="0021033D" w:rsidRDefault="003A36AE" w:rsidP="003A36AE">
      <w:pPr>
        <w:pStyle w:val="ListParagraph"/>
        <w:numPr>
          <w:ilvl w:val="0"/>
          <w:numId w:val="1"/>
        </w:numPr>
        <w:rPr>
          <w:rFonts w:ascii="Times New Roman" w:hAnsi="Times New Roman"/>
        </w:rPr>
      </w:pPr>
      <w:r w:rsidRPr="0021033D">
        <w:rPr>
          <w:rFonts w:ascii="Times New Roman" w:hAnsi="Times New Roman"/>
        </w:rPr>
        <w:t>Design application for implementation</w:t>
      </w:r>
    </w:p>
    <w:p w:rsidR="0080015E" w:rsidRPr="003A36AE" w:rsidRDefault="003A36AE" w:rsidP="00FA0D36">
      <w:pPr>
        <w:pStyle w:val="ListParagraph"/>
        <w:numPr>
          <w:ilvl w:val="0"/>
          <w:numId w:val="1"/>
        </w:numPr>
        <w:rPr>
          <w:rFonts w:ascii="Times New Roman" w:hAnsi="Times New Roman"/>
        </w:rPr>
      </w:pPr>
      <w:r>
        <w:rPr>
          <w:rFonts w:ascii="Times New Roman" w:hAnsi="Times New Roman"/>
        </w:rPr>
        <w:t>Look to the future</w:t>
      </w:r>
    </w:p>
    <w:p w:rsidR="003C1D94" w:rsidRDefault="00FA0D36">
      <w:pPr>
        <w:rPr>
          <w:rFonts w:ascii="Times New Roman" w:hAnsi="Times New Roman"/>
        </w:rPr>
      </w:pPr>
      <w:r w:rsidRPr="00A36994">
        <w:rPr>
          <w:rFonts w:ascii="Times New Roman" w:hAnsi="Times New Roman"/>
          <w:b/>
        </w:rPr>
        <w:t>Start With a Real Problem</w:t>
      </w:r>
      <w:r w:rsidR="00B437EE">
        <w:rPr>
          <w:rFonts w:ascii="Times New Roman" w:hAnsi="Times New Roman"/>
        </w:rPr>
        <w:t xml:space="preserve"> </w:t>
      </w:r>
    </w:p>
    <w:p w:rsidR="006A2628" w:rsidRPr="003C1D94" w:rsidRDefault="0023777F">
      <w:pPr>
        <w:rPr>
          <w:rFonts w:ascii="Times New Roman" w:hAnsi="Times New Roman"/>
          <w:b/>
        </w:rPr>
      </w:pPr>
      <w:r>
        <w:rPr>
          <w:rFonts w:ascii="Times New Roman" w:hAnsi="Times New Roman"/>
        </w:rPr>
        <w:t xml:space="preserve">It all began a number of years ago when </w:t>
      </w:r>
      <w:r w:rsidR="00BA3736">
        <w:rPr>
          <w:rFonts w:ascii="Times New Roman" w:hAnsi="Times New Roman"/>
        </w:rPr>
        <w:t>I was director of the library in a large high school i</w:t>
      </w:r>
      <w:r w:rsidR="00760722">
        <w:rPr>
          <w:rFonts w:ascii="Times New Roman" w:hAnsi="Times New Roman"/>
        </w:rPr>
        <w:t>n central New Jersey that</w:t>
      </w:r>
      <w:r w:rsidR="00BA3736">
        <w:rPr>
          <w:rFonts w:ascii="Times New Roman" w:hAnsi="Times New Roman"/>
        </w:rPr>
        <w:t xml:space="preserve"> was an active, vital part of the every day life of the school. </w:t>
      </w:r>
      <w:r w:rsidR="000457C8">
        <w:rPr>
          <w:rFonts w:ascii="Times New Roman" w:hAnsi="Times New Roman"/>
        </w:rPr>
        <w:t>The library</w:t>
      </w:r>
      <w:r>
        <w:rPr>
          <w:rFonts w:ascii="Times New Roman" w:hAnsi="Times New Roman"/>
        </w:rPr>
        <w:t xml:space="preserve"> was a gathering place before an</w:t>
      </w:r>
      <w:r w:rsidR="008E75C8">
        <w:rPr>
          <w:rFonts w:ascii="Times New Roman" w:hAnsi="Times New Roman"/>
        </w:rPr>
        <w:t>d after school with a good</w:t>
      </w:r>
      <w:r>
        <w:rPr>
          <w:rFonts w:ascii="Times New Roman" w:hAnsi="Times New Roman"/>
        </w:rPr>
        <w:t xml:space="preserve"> mix of social and academic activity. During the school day t</w:t>
      </w:r>
      <w:r w:rsidR="000457C8">
        <w:rPr>
          <w:rFonts w:ascii="Times New Roman" w:hAnsi="Times New Roman"/>
        </w:rPr>
        <w:t>eachers brought their</w:t>
      </w:r>
      <w:r w:rsidR="008E75C8">
        <w:rPr>
          <w:rFonts w:ascii="Times New Roman" w:hAnsi="Times New Roman"/>
        </w:rPr>
        <w:t xml:space="preserve"> </w:t>
      </w:r>
      <w:r w:rsidR="00760722">
        <w:rPr>
          <w:rFonts w:ascii="Times New Roman" w:hAnsi="Times New Roman"/>
        </w:rPr>
        <w:t>classes in for research sessions and students</w:t>
      </w:r>
      <w:r w:rsidR="000457C8">
        <w:rPr>
          <w:rFonts w:ascii="Times New Roman" w:hAnsi="Times New Roman"/>
        </w:rPr>
        <w:t xml:space="preserve"> came</w:t>
      </w:r>
      <w:r>
        <w:rPr>
          <w:rFonts w:ascii="Times New Roman" w:hAnsi="Times New Roman"/>
        </w:rPr>
        <w:t xml:space="preserve"> in to look for information on </w:t>
      </w:r>
      <w:r w:rsidR="008E75C8">
        <w:rPr>
          <w:rFonts w:ascii="Times New Roman" w:hAnsi="Times New Roman"/>
        </w:rPr>
        <w:t>class assignment</w:t>
      </w:r>
      <w:r w:rsidR="001026E3">
        <w:rPr>
          <w:rFonts w:ascii="Times New Roman" w:hAnsi="Times New Roman"/>
        </w:rPr>
        <w:t>s</w:t>
      </w:r>
      <w:r w:rsidR="008E75C8">
        <w:rPr>
          <w:rFonts w:ascii="Times New Roman" w:hAnsi="Times New Roman"/>
        </w:rPr>
        <w:t xml:space="preserve"> and also to read and do homework</w:t>
      </w:r>
      <w:r w:rsidR="00760722">
        <w:rPr>
          <w:rFonts w:ascii="Times New Roman" w:hAnsi="Times New Roman"/>
        </w:rPr>
        <w:t>. I was busily involved</w:t>
      </w:r>
      <w:r w:rsidR="008E75C8">
        <w:rPr>
          <w:rFonts w:ascii="Times New Roman" w:hAnsi="Times New Roman"/>
        </w:rPr>
        <w:t xml:space="preserve"> with teachers to coordinate their research assignments with the curriculum and </w:t>
      </w:r>
      <w:r w:rsidR="000457C8">
        <w:rPr>
          <w:rFonts w:ascii="Times New Roman" w:hAnsi="Times New Roman"/>
        </w:rPr>
        <w:t>teaching</w:t>
      </w:r>
      <w:r w:rsidR="008E75C8">
        <w:rPr>
          <w:rFonts w:ascii="Times New Roman" w:hAnsi="Times New Roman"/>
        </w:rPr>
        <w:t xml:space="preserve"> students</w:t>
      </w:r>
      <w:r>
        <w:rPr>
          <w:rFonts w:ascii="Times New Roman" w:hAnsi="Times New Roman"/>
        </w:rPr>
        <w:t xml:space="preserve"> </w:t>
      </w:r>
      <w:r w:rsidR="000457C8">
        <w:rPr>
          <w:rFonts w:ascii="Times New Roman" w:hAnsi="Times New Roman"/>
        </w:rPr>
        <w:t xml:space="preserve">to </w:t>
      </w:r>
      <w:r>
        <w:rPr>
          <w:rFonts w:ascii="Times New Roman" w:hAnsi="Times New Roman"/>
        </w:rPr>
        <w:t xml:space="preserve">locate sources and </w:t>
      </w:r>
      <w:r w:rsidR="000457C8">
        <w:rPr>
          <w:rFonts w:ascii="Times New Roman" w:hAnsi="Times New Roman"/>
        </w:rPr>
        <w:t xml:space="preserve">helping them </w:t>
      </w:r>
      <w:r>
        <w:rPr>
          <w:rFonts w:ascii="Times New Roman" w:hAnsi="Times New Roman"/>
        </w:rPr>
        <w:t xml:space="preserve">find information.  I </w:t>
      </w:r>
      <w:r w:rsidR="008E75C8">
        <w:rPr>
          <w:rFonts w:ascii="Times New Roman" w:hAnsi="Times New Roman"/>
        </w:rPr>
        <w:t xml:space="preserve">should have </w:t>
      </w:r>
      <w:r>
        <w:rPr>
          <w:rFonts w:ascii="Times New Roman" w:hAnsi="Times New Roman"/>
        </w:rPr>
        <w:t xml:space="preserve">felt pretty good about it all.  But I had a lingering sense that something was missing.  </w:t>
      </w:r>
      <w:r w:rsidR="000457C8">
        <w:rPr>
          <w:rFonts w:ascii="Times New Roman" w:hAnsi="Times New Roman"/>
        </w:rPr>
        <w:t>After students found some information</w:t>
      </w:r>
      <w:r>
        <w:rPr>
          <w:rFonts w:ascii="Times New Roman" w:hAnsi="Times New Roman"/>
        </w:rPr>
        <w:t xml:space="preserve"> </w:t>
      </w:r>
      <w:r w:rsidR="002E6DFC">
        <w:rPr>
          <w:rFonts w:ascii="Times New Roman" w:hAnsi="Times New Roman"/>
        </w:rPr>
        <w:t xml:space="preserve">the real learning was ahead of them. How could they manage that on their own?  How could I help? I really didn’t know what went on from the time </w:t>
      </w:r>
      <w:r w:rsidR="000457C8">
        <w:rPr>
          <w:rFonts w:ascii="Times New Roman" w:hAnsi="Times New Roman"/>
        </w:rPr>
        <w:t>they left the library with some sources of information and</w:t>
      </w:r>
      <w:r w:rsidR="002E6DFC">
        <w:rPr>
          <w:rFonts w:ascii="Times New Roman" w:hAnsi="Times New Roman"/>
        </w:rPr>
        <w:t xml:space="preserve"> the time </w:t>
      </w:r>
      <w:r w:rsidR="000457C8">
        <w:rPr>
          <w:rFonts w:ascii="Times New Roman" w:hAnsi="Times New Roman"/>
        </w:rPr>
        <w:t xml:space="preserve">that </w:t>
      </w:r>
      <w:r w:rsidR="002E6DFC">
        <w:rPr>
          <w:rFonts w:ascii="Times New Roman" w:hAnsi="Times New Roman"/>
        </w:rPr>
        <w:t xml:space="preserve">they handed in the </w:t>
      </w:r>
      <w:r w:rsidR="000457C8">
        <w:rPr>
          <w:rFonts w:ascii="Times New Roman" w:hAnsi="Times New Roman"/>
        </w:rPr>
        <w:t xml:space="preserve">research </w:t>
      </w:r>
      <w:r w:rsidR="002E6DFC">
        <w:rPr>
          <w:rFonts w:ascii="Times New Roman" w:hAnsi="Times New Roman"/>
        </w:rPr>
        <w:t xml:space="preserve">paper, except for the few that came for extra help. </w:t>
      </w:r>
      <w:r>
        <w:rPr>
          <w:rFonts w:ascii="Times New Roman" w:hAnsi="Times New Roman"/>
        </w:rPr>
        <w:t xml:space="preserve"> </w:t>
      </w:r>
      <w:r w:rsidR="000457C8">
        <w:rPr>
          <w:rFonts w:ascii="Times New Roman" w:hAnsi="Times New Roman"/>
        </w:rPr>
        <w:t>Even when a</w:t>
      </w:r>
      <w:r w:rsidR="002E6DFC">
        <w:rPr>
          <w:rFonts w:ascii="Times New Roman" w:hAnsi="Times New Roman"/>
        </w:rPr>
        <w:t xml:space="preserve"> class was scheduled for several days in the library I didn’t seem to get much beyond information l</w:t>
      </w:r>
      <w:r w:rsidR="001026E3">
        <w:rPr>
          <w:rFonts w:ascii="Times New Roman" w:hAnsi="Times New Roman"/>
        </w:rPr>
        <w:t>ocation into the ideas they</w:t>
      </w:r>
      <w:r w:rsidR="002E6DFC">
        <w:rPr>
          <w:rFonts w:ascii="Times New Roman" w:hAnsi="Times New Roman"/>
        </w:rPr>
        <w:t xml:space="preserve"> </w:t>
      </w:r>
      <w:r w:rsidR="000457C8">
        <w:rPr>
          <w:rFonts w:ascii="Times New Roman" w:hAnsi="Times New Roman"/>
        </w:rPr>
        <w:t>needed to grapple with to actually learn something.</w:t>
      </w:r>
    </w:p>
    <w:p w:rsidR="00F41106" w:rsidRDefault="006A2628">
      <w:pPr>
        <w:rPr>
          <w:rFonts w:ascii="Times New Roman" w:hAnsi="Times New Roman"/>
        </w:rPr>
      </w:pPr>
      <w:r>
        <w:rPr>
          <w:rFonts w:ascii="Times New Roman" w:hAnsi="Times New Roman"/>
        </w:rPr>
        <w:t>My research on the information search process was grounded in this lingering sense that something important was going on that I just couldn’t get at in my everyday library practice.  The qualitative ethnographic study that opened up the students’ thoughts, actions and feel</w:t>
      </w:r>
      <w:r w:rsidR="003C1D94">
        <w:rPr>
          <w:rFonts w:ascii="Times New Roman" w:hAnsi="Times New Roman"/>
        </w:rPr>
        <w:t>ings in the process of learn</w:t>
      </w:r>
      <w:r>
        <w:rPr>
          <w:rFonts w:ascii="Times New Roman" w:hAnsi="Times New Roman"/>
        </w:rPr>
        <w:t>ing from a variety of sources of information changed my approach t</w:t>
      </w:r>
      <w:r w:rsidR="004F25F2">
        <w:rPr>
          <w:rFonts w:ascii="Times New Roman" w:hAnsi="Times New Roman"/>
        </w:rPr>
        <w:t>o librarianship.  M</w:t>
      </w:r>
      <w:r w:rsidR="003C1D94">
        <w:rPr>
          <w:rFonts w:ascii="Times New Roman" w:hAnsi="Times New Roman"/>
        </w:rPr>
        <w:t>an</w:t>
      </w:r>
      <w:r w:rsidR="004F25F2">
        <w:rPr>
          <w:rFonts w:ascii="Times New Roman" w:hAnsi="Times New Roman"/>
        </w:rPr>
        <w:t xml:space="preserve">y other librarians and teachers </w:t>
      </w:r>
      <w:r w:rsidR="001026E3">
        <w:rPr>
          <w:rFonts w:ascii="Times New Roman" w:hAnsi="Times New Roman"/>
        </w:rPr>
        <w:t xml:space="preserve">as well </w:t>
      </w:r>
      <w:r w:rsidR="004F25F2">
        <w:rPr>
          <w:rFonts w:ascii="Times New Roman" w:hAnsi="Times New Roman"/>
        </w:rPr>
        <w:t xml:space="preserve">were </w:t>
      </w:r>
      <w:r w:rsidR="00321C98">
        <w:rPr>
          <w:rFonts w:ascii="Times New Roman" w:hAnsi="Times New Roman"/>
        </w:rPr>
        <w:t>able</w:t>
      </w:r>
      <w:r w:rsidR="004F25F2">
        <w:rPr>
          <w:rFonts w:ascii="Times New Roman" w:hAnsi="Times New Roman"/>
        </w:rPr>
        <w:t xml:space="preserve"> </w:t>
      </w:r>
      <w:r>
        <w:rPr>
          <w:rFonts w:ascii="Times New Roman" w:hAnsi="Times New Roman"/>
        </w:rPr>
        <w:t>to see that information seeking and use is a complex constructi</w:t>
      </w:r>
      <w:r w:rsidR="00774644">
        <w:rPr>
          <w:rFonts w:ascii="Times New Roman" w:hAnsi="Times New Roman"/>
        </w:rPr>
        <w:t>ve process of learning</w:t>
      </w:r>
      <w:r w:rsidR="003C1D94">
        <w:rPr>
          <w:rFonts w:ascii="Times New Roman" w:hAnsi="Times New Roman"/>
        </w:rPr>
        <w:t xml:space="preserve"> that needs to be</w:t>
      </w:r>
      <w:r w:rsidR="00774644">
        <w:rPr>
          <w:rFonts w:ascii="Times New Roman" w:hAnsi="Times New Roman"/>
        </w:rPr>
        <w:t xml:space="preserve"> guided </w:t>
      </w:r>
      <w:r w:rsidR="003C1D94">
        <w:rPr>
          <w:rFonts w:ascii="Times New Roman" w:hAnsi="Times New Roman"/>
        </w:rPr>
        <w:t>and supported</w:t>
      </w:r>
      <w:r w:rsidR="00774644">
        <w:rPr>
          <w:rFonts w:ascii="Times New Roman" w:hAnsi="Times New Roman"/>
        </w:rPr>
        <w:t>.</w:t>
      </w:r>
    </w:p>
    <w:p w:rsidR="003C1D94" w:rsidRDefault="00A8740E">
      <w:pPr>
        <w:rPr>
          <w:rFonts w:ascii="Times New Roman" w:hAnsi="Times New Roman"/>
        </w:rPr>
      </w:pPr>
      <w:r>
        <w:rPr>
          <w:rFonts w:ascii="Times New Roman" w:hAnsi="Times New Roman"/>
        </w:rPr>
        <w:t>In that initial study I found that I could chart students’ thoughts, feelings and actions in a series of s</w:t>
      </w:r>
      <w:r w:rsidR="00F41106">
        <w:rPr>
          <w:rFonts w:ascii="Times New Roman" w:hAnsi="Times New Roman"/>
        </w:rPr>
        <w:t>ix stages</w:t>
      </w:r>
      <w:r>
        <w:rPr>
          <w:rFonts w:ascii="Times New Roman" w:hAnsi="Times New Roman"/>
        </w:rPr>
        <w:t>.  One of my data collection methods was a timeline in which students described their thoughts</w:t>
      </w:r>
      <w:r w:rsidR="001026E3">
        <w:rPr>
          <w:rFonts w:ascii="Times New Roman" w:hAnsi="Times New Roman"/>
        </w:rPr>
        <w:t>,</w:t>
      </w:r>
      <w:r>
        <w:rPr>
          <w:rFonts w:ascii="Times New Roman" w:hAnsi="Times New Roman"/>
        </w:rPr>
        <w:t xml:space="preserve"> actions and feelings.  I adopted the timeline to display three la</w:t>
      </w:r>
      <w:r w:rsidR="004F25F2">
        <w:rPr>
          <w:rFonts w:ascii="Times New Roman" w:hAnsi="Times New Roman"/>
        </w:rPr>
        <w:t>yers of experience</w:t>
      </w:r>
      <w:r>
        <w:rPr>
          <w:rFonts w:ascii="Times New Roman" w:hAnsi="Times New Roman"/>
        </w:rPr>
        <w:t xml:space="preserve"> with thoughts shifting from vague to clearer and feelings changing from anxious to more confident as the action of the search progresses. The stages were named for the main task undertaken to move on to the next stage: task initiation, topic selection, focus exploration, focus formulation, information collection </w:t>
      </w:r>
      <w:r w:rsidR="004937B2">
        <w:rPr>
          <w:rFonts w:ascii="Times New Roman" w:hAnsi="Times New Roman"/>
        </w:rPr>
        <w:t xml:space="preserve">and </w:t>
      </w:r>
      <w:r>
        <w:rPr>
          <w:rFonts w:ascii="Times New Roman" w:hAnsi="Times New Roman"/>
        </w:rPr>
        <w:t xml:space="preserve">search closure.   These were later simplified to </w:t>
      </w:r>
      <w:r w:rsidR="004937B2">
        <w:rPr>
          <w:rFonts w:ascii="Times New Roman" w:hAnsi="Times New Roman"/>
        </w:rPr>
        <w:t>initiation, selection, exploration, formulation, collection, and presentation.</w:t>
      </w:r>
    </w:p>
    <w:p w:rsidR="00FA0D36" w:rsidRDefault="004F25F2">
      <w:pPr>
        <w:rPr>
          <w:rFonts w:ascii="Times New Roman" w:hAnsi="Times New Roman"/>
        </w:rPr>
      </w:pPr>
      <w:r>
        <w:rPr>
          <w:rFonts w:ascii="Times New Roman" w:hAnsi="Times New Roman"/>
        </w:rPr>
        <w:t>Insert figure of</w:t>
      </w:r>
      <w:r w:rsidR="003C1D94">
        <w:rPr>
          <w:rFonts w:ascii="Times New Roman" w:hAnsi="Times New Roman"/>
        </w:rPr>
        <w:t xml:space="preserve"> Model of the Information Search Process (ISP)</w:t>
      </w:r>
    </w:p>
    <w:p w:rsidR="003C1D94" w:rsidRDefault="00FA0D36">
      <w:pPr>
        <w:rPr>
          <w:rFonts w:ascii="Times New Roman" w:hAnsi="Times New Roman"/>
        </w:rPr>
      </w:pPr>
      <w:r w:rsidRPr="00A36994">
        <w:rPr>
          <w:rFonts w:ascii="Times New Roman" w:hAnsi="Times New Roman"/>
          <w:b/>
        </w:rPr>
        <w:t>Stay With the Problem to Verify and Test the Findings in a Variety of Contexts</w:t>
      </w:r>
      <w:r w:rsidR="004937B2">
        <w:rPr>
          <w:rFonts w:ascii="Times New Roman" w:hAnsi="Times New Roman"/>
        </w:rPr>
        <w:t xml:space="preserve"> </w:t>
      </w:r>
    </w:p>
    <w:p w:rsidR="00FA0D36" w:rsidRPr="003C1D94" w:rsidRDefault="004937B2">
      <w:pPr>
        <w:rPr>
          <w:rFonts w:ascii="Times New Roman" w:hAnsi="Times New Roman"/>
          <w:b/>
        </w:rPr>
      </w:pPr>
      <w:r>
        <w:rPr>
          <w:rFonts w:ascii="Times New Roman" w:hAnsi="Times New Roman"/>
        </w:rPr>
        <w:t xml:space="preserve">I had found something important and interesting about my group of students. </w:t>
      </w:r>
      <w:r w:rsidR="003C1D94">
        <w:rPr>
          <w:rFonts w:ascii="Times New Roman" w:hAnsi="Times New Roman"/>
        </w:rPr>
        <w:t>T</w:t>
      </w:r>
      <w:r>
        <w:rPr>
          <w:rFonts w:ascii="Times New Roman" w:hAnsi="Times New Roman"/>
        </w:rPr>
        <w:t>here was more research to be d</w:t>
      </w:r>
      <w:r w:rsidR="0021033D">
        <w:rPr>
          <w:rFonts w:ascii="Times New Roman" w:hAnsi="Times New Roman"/>
        </w:rPr>
        <w:t>one to see if the model applied</w:t>
      </w:r>
      <w:r>
        <w:rPr>
          <w:rFonts w:ascii="Times New Roman" w:hAnsi="Times New Roman"/>
        </w:rPr>
        <w:t xml:space="preserve"> to other students or even to these students at another time and </w:t>
      </w:r>
      <w:r w:rsidR="008B7481">
        <w:rPr>
          <w:rFonts w:ascii="Times New Roman" w:hAnsi="Times New Roman"/>
        </w:rPr>
        <w:t>in different</w:t>
      </w:r>
      <w:r w:rsidR="0021033D">
        <w:rPr>
          <w:rFonts w:ascii="Times New Roman" w:hAnsi="Times New Roman"/>
        </w:rPr>
        <w:t xml:space="preserve"> context</w:t>
      </w:r>
      <w:r>
        <w:rPr>
          <w:rFonts w:ascii="Times New Roman" w:hAnsi="Times New Roman"/>
        </w:rPr>
        <w:t>. I decided to stay with the problem</w:t>
      </w:r>
      <w:r w:rsidR="008B7481">
        <w:rPr>
          <w:rFonts w:ascii="Times New Roman" w:hAnsi="Times New Roman"/>
        </w:rPr>
        <w:t xml:space="preserve"> to verify and test the model</w:t>
      </w:r>
      <w:r>
        <w:rPr>
          <w:rFonts w:ascii="Times New Roman" w:hAnsi="Times New Roman"/>
        </w:rPr>
        <w:t xml:space="preserve"> </w:t>
      </w:r>
      <w:r w:rsidR="0021033D">
        <w:rPr>
          <w:rFonts w:ascii="Times New Roman" w:hAnsi="Times New Roman"/>
        </w:rPr>
        <w:t>with these same students some time later</w:t>
      </w:r>
      <w:r>
        <w:rPr>
          <w:rFonts w:ascii="Times New Roman" w:hAnsi="Times New Roman"/>
        </w:rPr>
        <w:t xml:space="preserve"> and with </w:t>
      </w:r>
      <w:r w:rsidR="008B7481">
        <w:rPr>
          <w:rFonts w:ascii="Times New Roman" w:hAnsi="Times New Roman"/>
        </w:rPr>
        <w:t xml:space="preserve">a variety of </w:t>
      </w:r>
      <w:r>
        <w:rPr>
          <w:rFonts w:ascii="Times New Roman" w:hAnsi="Times New Roman"/>
        </w:rPr>
        <w:t xml:space="preserve">other </w:t>
      </w:r>
      <w:r w:rsidR="00B70313">
        <w:rPr>
          <w:rFonts w:ascii="Times New Roman" w:hAnsi="Times New Roman"/>
        </w:rPr>
        <w:t>students</w:t>
      </w:r>
      <w:r>
        <w:rPr>
          <w:rFonts w:ascii="Times New Roman" w:hAnsi="Times New Roman"/>
        </w:rPr>
        <w:t xml:space="preserve">.  </w:t>
      </w:r>
      <w:r w:rsidR="008B7481">
        <w:rPr>
          <w:rFonts w:ascii="Times New Roman" w:hAnsi="Times New Roman"/>
        </w:rPr>
        <w:t xml:space="preserve">I was able to verify the model in longitudinal case studies </w:t>
      </w:r>
      <w:r w:rsidR="00B70313">
        <w:rPr>
          <w:rFonts w:ascii="Times New Roman" w:hAnsi="Times New Roman"/>
        </w:rPr>
        <w:t xml:space="preserve">of this group of students </w:t>
      </w:r>
      <w:r w:rsidR="008B7481">
        <w:rPr>
          <w:rFonts w:ascii="Times New Roman" w:hAnsi="Times New Roman"/>
        </w:rPr>
        <w:t>and large-scale studies of div</w:t>
      </w:r>
      <w:r w:rsidR="00B70313">
        <w:rPr>
          <w:rFonts w:ascii="Times New Roman" w:hAnsi="Times New Roman"/>
        </w:rPr>
        <w:t>erse samples of students</w:t>
      </w:r>
      <w:r w:rsidR="003C1D94">
        <w:rPr>
          <w:rFonts w:ascii="Times New Roman" w:hAnsi="Times New Roman"/>
        </w:rPr>
        <w:t>. I</w:t>
      </w:r>
      <w:r w:rsidR="008B7481">
        <w:rPr>
          <w:rFonts w:ascii="Times New Roman" w:hAnsi="Times New Roman"/>
        </w:rPr>
        <w:t xml:space="preserve"> ended up staying with the problem for over two decades and </w:t>
      </w:r>
      <w:r w:rsidR="00B70313">
        <w:rPr>
          <w:rFonts w:ascii="Times New Roman" w:hAnsi="Times New Roman"/>
        </w:rPr>
        <w:t xml:space="preserve">I am still working on it.  A combination of qualitative and quantitative methods has been an important component of this research further amplified by incorporating </w:t>
      </w:r>
      <w:r w:rsidR="00EC3B66">
        <w:rPr>
          <w:rFonts w:ascii="Times New Roman" w:hAnsi="Times New Roman"/>
        </w:rPr>
        <w:t xml:space="preserve">a </w:t>
      </w:r>
      <w:r w:rsidR="00B70313">
        <w:rPr>
          <w:rFonts w:ascii="Times New Roman" w:hAnsi="Times New Roman"/>
        </w:rPr>
        <w:t xml:space="preserve">longitudinal </w:t>
      </w:r>
      <w:r w:rsidR="00EC3B66">
        <w:rPr>
          <w:rFonts w:ascii="Times New Roman" w:hAnsi="Times New Roman"/>
        </w:rPr>
        <w:t>perspective</w:t>
      </w:r>
      <w:r w:rsidR="00B70313">
        <w:rPr>
          <w:rFonts w:ascii="Times New Roman" w:hAnsi="Times New Roman"/>
        </w:rPr>
        <w:t>. Initially, I had used qualitative methods to open the</w:t>
      </w:r>
      <w:r w:rsidR="00EC3B66">
        <w:rPr>
          <w:rFonts w:ascii="Times New Roman" w:hAnsi="Times New Roman"/>
        </w:rPr>
        <w:t xml:space="preserve"> process for examination.  W</w:t>
      </w:r>
      <w:r w:rsidR="00B70313">
        <w:rPr>
          <w:rFonts w:ascii="Times New Roman" w:hAnsi="Times New Roman"/>
        </w:rPr>
        <w:t>hen quantitative methods enabled verification of the initial model in</w:t>
      </w:r>
      <w:r w:rsidR="00EC3B66">
        <w:rPr>
          <w:rFonts w:ascii="Times New Roman" w:hAnsi="Times New Roman"/>
        </w:rPr>
        <w:t xml:space="preserve"> </w:t>
      </w:r>
      <w:r w:rsidR="00B70313">
        <w:rPr>
          <w:rFonts w:ascii="Times New Roman" w:hAnsi="Times New Roman"/>
        </w:rPr>
        <w:t xml:space="preserve">a large sample of diverse users, I realized the power of using the combination of methodologies. </w:t>
      </w:r>
    </w:p>
    <w:p w:rsidR="00FA0D36" w:rsidRPr="00A36994" w:rsidRDefault="00FA0D36" w:rsidP="00FA0D36">
      <w:pPr>
        <w:rPr>
          <w:rFonts w:ascii="Times New Roman" w:hAnsi="Times New Roman"/>
          <w:b/>
        </w:rPr>
      </w:pPr>
      <w:r w:rsidRPr="00A36994">
        <w:rPr>
          <w:rFonts w:ascii="Times New Roman" w:hAnsi="Times New Roman"/>
          <w:b/>
        </w:rPr>
        <w:t>Develop Concepts From the Findings</w:t>
      </w:r>
    </w:p>
    <w:p w:rsidR="00920C74" w:rsidRDefault="001026E3">
      <w:pPr>
        <w:rPr>
          <w:rFonts w:ascii="Times New Roman" w:hAnsi="Times New Roman"/>
        </w:rPr>
      </w:pPr>
      <w:r>
        <w:rPr>
          <w:rFonts w:ascii="Times New Roman" w:hAnsi="Times New Roman"/>
        </w:rPr>
        <w:t>The next important part of my</w:t>
      </w:r>
      <w:r w:rsidR="00EC3B66">
        <w:rPr>
          <w:rFonts w:ascii="Times New Roman" w:hAnsi="Times New Roman"/>
        </w:rPr>
        <w:t xml:space="preserve"> research journ</w:t>
      </w:r>
      <w:r w:rsidR="004F25F2">
        <w:rPr>
          <w:rFonts w:ascii="Times New Roman" w:hAnsi="Times New Roman"/>
        </w:rPr>
        <w:t>ey was</w:t>
      </w:r>
      <w:r w:rsidR="00EC3B66">
        <w:rPr>
          <w:rFonts w:ascii="Times New Roman" w:hAnsi="Times New Roman"/>
        </w:rPr>
        <w:t xml:space="preserve"> to draw out the main ideas in the findings and to develop conce</w:t>
      </w:r>
      <w:r w:rsidR="00A36994">
        <w:rPr>
          <w:rFonts w:ascii="Times New Roman" w:hAnsi="Times New Roman"/>
        </w:rPr>
        <w:t>p</w:t>
      </w:r>
      <w:r w:rsidR="004F25F2">
        <w:rPr>
          <w:rFonts w:ascii="Times New Roman" w:hAnsi="Times New Roman"/>
        </w:rPr>
        <w:t xml:space="preserve">ts from the results. </w:t>
      </w:r>
      <w:r w:rsidR="00792CD9">
        <w:rPr>
          <w:rFonts w:ascii="Times New Roman" w:hAnsi="Times New Roman"/>
        </w:rPr>
        <w:t xml:space="preserve"> What are</w:t>
      </w:r>
      <w:r w:rsidR="00EC3B66">
        <w:rPr>
          <w:rFonts w:ascii="Times New Roman" w:hAnsi="Times New Roman"/>
        </w:rPr>
        <w:t xml:space="preserve"> the most important</w:t>
      </w:r>
      <w:r w:rsidR="00792CD9">
        <w:rPr>
          <w:rFonts w:ascii="Times New Roman" w:hAnsi="Times New Roman"/>
        </w:rPr>
        <w:t xml:space="preserve"> core ideas</w:t>
      </w:r>
      <w:r w:rsidR="00EC3B66">
        <w:rPr>
          <w:rFonts w:ascii="Times New Roman" w:hAnsi="Times New Roman"/>
        </w:rPr>
        <w:t xml:space="preserve">? </w:t>
      </w:r>
      <w:r w:rsidR="00792CD9">
        <w:rPr>
          <w:rFonts w:ascii="Times New Roman" w:hAnsi="Times New Roman"/>
        </w:rPr>
        <w:t>One</w:t>
      </w:r>
      <w:r w:rsidR="00A36994">
        <w:rPr>
          <w:rFonts w:ascii="Times New Roman" w:hAnsi="Times New Roman"/>
        </w:rPr>
        <w:t xml:space="preserve"> important </w:t>
      </w:r>
      <w:r w:rsidR="00792CD9">
        <w:rPr>
          <w:rFonts w:ascii="Times New Roman" w:hAnsi="Times New Roman"/>
        </w:rPr>
        <w:t>core idea</w:t>
      </w:r>
      <w:r w:rsidR="00317D57">
        <w:rPr>
          <w:rFonts w:ascii="Times New Roman" w:hAnsi="Times New Roman"/>
        </w:rPr>
        <w:t xml:space="preserve"> that came from </w:t>
      </w:r>
      <w:r w:rsidR="00A36994">
        <w:rPr>
          <w:rFonts w:ascii="Times New Roman" w:hAnsi="Times New Roman"/>
        </w:rPr>
        <w:t>the ISP</w:t>
      </w:r>
      <w:r w:rsidR="00CC2F6B">
        <w:rPr>
          <w:rFonts w:ascii="Times New Roman" w:hAnsi="Times New Roman"/>
        </w:rPr>
        <w:t xml:space="preserve"> studies is that </w:t>
      </w:r>
      <w:r w:rsidR="00792CD9">
        <w:rPr>
          <w:rFonts w:ascii="Times New Roman" w:hAnsi="Times New Roman"/>
        </w:rPr>
        <w:t>students</w:t>
      </w:r>
      <w:r w:rsidR="00C65D89">
        <w:rPr>
          <w:rFonts w:ascii="Times New Roman" w:hAnsi="Times New Roman"/>
        </w:rPr>
        <w:t>’</w:t>
      </w:r>
      <w:r w:rsidR="00792CD9">
        <w:rPr>
          <w:rFonts w:ascii="Times New Roman" w:hAnsi="Times New Roman"/>
        </w:rPr>
        <w:t xml:space="preserve"> </w:t>
      </w:r>
      <w:r w:rsidR="00CC2F6B">
        <w:rPr>
          <w:rFonts w:ascii="Times New Roman" w:hAnsi="Times New Roman"/>
        </w:rPr>
        <w:t>t</w:t>
      </w:r>
      <w:r w:rsidR="00792CD9">
        <w:rPr>
          <w:rFonts w:ascii="Times New Roman" w:hAnsi="Times New Roman"/>
        </w:rPr>
        <w:t>houghts are charged with emotions</w:t>
      </w:r>
      <w:r w:rsidR="00CC2F6B">
        <w:rPr>
          <w:rFonts w:ascii="Times New Roman" w:hAnsi="Times New Roman"/>
        </w:rPr>
        <w:t xml:space="preserve"> </w:t>
      </w:r>
      <w:r w:rsidR="00792CD9">
        <w:rPr>
          <w:rFonts w:ascii="Times New Roman" w:hAnsi="Times New Roman"/>
        </w:rPr>
        <w:t xml:space="preserve">that </w:t>
      </w:r>
      <w:r w:rsidR="00CC2F6B">
        <w:rPr>
          <w:rFonts w:ascii="Times New Roman" w:hAnsi="Times New Roman"/>
        </w:rPr>
        <w:t>infl</w:t>
      </w:r>
      <w:r w:rsidR="00792CD9">
        <w:rPr>
          <w:rFonts w:ascii="Times New Roman" w:hAnsi="Times New Roman"/>
        </w:rPr>
        <w:t>uence their actions</w:t>
      </w:r>
      <w:r w:rsidR="003C1D94">
        <w:rPr>
          <w:rFonts w:ascii="Times New Roman" w:hAnsi="Times New Roman"/>
        </w:rPr>
        <w:t>.  Feelings are important and indicate</w:t>
      </w:r>
      <w:r w:rsidR="00CC2F6B">
        <w:rPr>
          <w:rFonts w:ascii="Times New Roman" w:hAnsi="Times New Roman"/>
        </w:rPr>
        <w:t xml:space="preserve"> </w:t>
      </w:r>
      <w:r w:rsidR="003C1D94">
        <w:rPr>
          <w:rFonts w:ascii="Times New Roman" w:hAnsi="Times New Roman"/>
        </w:rPr>
        <w:t>when students a</w:t>
      </w:r>
      <w:r w:rsidR="00A36994">
        <w:rPr>
          <w:rFonts w:ascii="Times New Roman" w:hAnsi="Times New Roman"/>
        </w:rPr>
        <w:t>re having difficulty and whe</w:t>
      </w:r>
      <w:r w:rsidR="003C1D94">
        <w:rPr>
          <w:rFonts w:ascii="Times New Roman" w:hAnsi="Times New Roman"/>
        </w:rPr>
        <w:t>n they a</w:t>
      </w:r>
      <w:r w:rsidR="00A36994">
        <w:rPr>
          <w:rFonts w:ascii="Times New Roman" w:hAnsi="Times New Roman"/>
        </w:rPr>
        <w:t>re doing well on their own.  Students often expected to be able to simply collect information and complete the</w:t>
      </w:r>
      <w:r>
        <w:rPr>
          <w:rFonts w:ascii="Times New Roman" w:hAnsi="Times New Roman"/>
        </w:rPr>
        <w:t>ir</w:t>
      </w:r>
      <w:r w:rsidR="00A36994">
        <w:rPr>
          <w:rFonts w:ascii="Times New Roman" w:hAnsi="Times New Roman"/>
        </w:rPr>
        <w:t xml:space="preserve"> task.  This simple view of the research process set</w:t>
      </w:r>
      <w:r w:rsidR="00792CD9">
        <w:rPr>
          <w:rFonts w:ascii="Times New Roman" w:hAnsi="Times New Roman"/>
        </w:rPr>
        <w:t>s up stumbling blocks</w:t>
      </w:r>
      <w:r w:rsidR="00A36994">
        <w:rPr>
          <w:rFonts w:ascii="Times New Roman" w:hAnsi="Times New Roman"/>
        </w:rPr>
        <w:t xml:space="preserve"> in the Exploration and Formulation stag</w:t>
      </w:r>
      <w:r w:rsidR="00792CD9">
        <w:rPr>
          <w:rFonts w:ascii="Times New Roman" w:hAnsi="Times New Roman"/>
        </w:rPr>
        <w:t>es.  When their expectations do</w:t>
      </w:r>
      <w:r w:rsidR="00A36994">
        <w:rPr>
          <w:rFonts w:ascii="Times New Roman" w:hAnsi="Times New Roman"/>
        </w:rPr>
        <w:t xml:space="preserve"> not match wh</w:t>
      </w:r>
      <w:r w:rsidR="00792CD9">
        <w:rPr>
          <w:rFonts w:ascii="Times New Roman" w:hAnsi="Times New Roman"/>
        </w:rPr>
        <w:t>at they are</w:t>
      </w:r>
      <w:r>
        <w:rPr>
          <w:rFonts w:ascii="Times New Roman" w:hAnsi="Times New Roman"/>
        </w:rPr>
        <w:t xml:space="preserve"> experiencing they beco</w:t>
      </w:r>
      <w:r w:rsidR="00A36994">
        <w:rPr>
          <w:rFonts w:ascii="Times New Roman" w:hAnsi="Times New Roman"/>
        </w:rPr>
        <w:t>me confused, anxious and frustr</w:t>
      </w:r>
      <w:r w:rsidR="00317D57">
        <w:rPr>
          <w:rFonts w:ascii="Times New Roman" w:hAnsi="Times New Roman"/>
        </w:rPr>
        <w:t>ated.  Students commonly experience</w:t>
      </w:r>
      <w:r w:rsidR="00A36994">
        <w:rPr>
          <w:rFonts w:ascii="Times New Roman" w:hAnsi="Times New Roman"/>
        </w:rPr>
        <w:t xml:space="preserve"> a</w:t>
      </w:r>
      <w:r w:rsidR="00EC3B66">
        <w:rPr>
          <w:rFonts w:ascii="Times New Roman" w:hAnsi="Times New Roman"/>
        </w:rPr>
        <w:t xml:space="preserve"> dip</w:t>
      </w:r>
      <w:r w:rsidR="00A36994">
        <w:rPr>
          <w:rFonts w:ascii="Times New Roman" w:hAnsi="Times New Roman"/>
        </w:rPr>
        <w:t xml:space="preserve"> in confidence and an increase in uncertainty in the Exploratio</w:t>
      </w:r>
      <w:r w:rsidR="00317D57">
        <w:rPr>
          <w:rFonts w:ascii="Times New Roman" w:hAnsi="Times New Roman"/>
        </w:rPr>
        <w:t>n</w:t>
      </w:r>
      <w:r w:rsidR="003C1D94">
        <w:rPr>
          <w:rFonts w:ascii="Times New Roman" w:hAnsi="Times New Roman"/>
        </w:rPr>
        <w:t xml:space="preserve"> stage when they least expect it and</w:t>
      </w:r>
      <w:r w:rsidR="00A36994">
        <w:rPr>
          <w:rFonts w:ascii="Times New Roman" w:hAnsi="Times New Roman"/>
        </w:rPr>
        <w:t xml:space="preserve"> a turning point </w:t>
      </w:r>
      <w:r w:rsidR="003C1D94">
        <w:rPr>
          <w:rFonts w:ascii="Times New Roman" w:hAnsi="Times New Roman"/>
        </w:rPr>
        <w:t xml:space="preserve">of increased confidence </w:t>
      </w:r>
      <w:r w:rsidR="00A36994">
        <w:rPr>
          <w:rFonts w:ascii="Times New Roman" w:hAnsi="Times New Roman"/>
        </w:rPr>
        <w:t xml:space="preserve">in the Formulation stage. </w:t>
      </w:r>
      <w:r w:rsidR="003C1D94">
        <w:rPr>
          <w:rFonts w:ascii="Times New Roman" w:hAnsi="Times New Roman"/>
        </w:rPr>
        <w:t xml:space="preserve"> </w:t>
      </w:r>
      <w:r w:rsidR="00D34FB9">
        <w:rPr>
          <w:rFonts w:ascii="Times New Roman" w:hAnsi="Times New Roman"/>
        </w:rPr>
        <w:t>Based on the model of t</w:t>
      </w:r>
      <w:r w:rsidR="00792CD9">
        <w:rPr>
          <w:rFonts w:ascii="Times New Roman" w:hAnsi="Times New Roman"/>
        </w:rPr>
        <w:t xml:space="preserve">he ISP </w:t>
      </w:r>
      <w:r w:rsidR="00D34FB9">
        <w:rPr>
          <w:rFonts w:ascii="Times New Roman" w:hAnsi="Times New Roman"/>
        </w:rPr>
        <w:t>I developed the concept of a zone of intervention for</w:t>
      </w:r>
      <w:r w:rsidR="003C1D94">
        <w:rPr>
          <w:rFonts w:ascii="Times New Roman" w:hAnsi="Times New Roman"/>
        </w:rPr>
        <w:t xml:space="preserve"> applying a process approach in youth services</w:t>
      </w:r>
      <w:r w:rsidR="00D34FB9">
        <w:rPr>
          <w:rFonts w:ascii="Times New Roman" w:hAnsi="Times New Roman"/>
        </w:rPr>
        <w:t>.  The core idea in the zone of intervention is that increased uncertainty indicates a need for assistance and guidance.  The zone of intervention is that area in which a student can do with advice and assistance what he or she cannot do alone or can do only with difficulty.  Intervention within this zone enables students to progress in their learning. Intervention outside this zone is inefficient and unnecessary, experienced by students as intr</w:t>
      </w:r>
      <w:r w:rsidR="00C86006">
        <w:rPr>
          <w:rFonts w:ascii="Times New Roman" w:hAnsi="Times New Roman"/>
        </w:rPr>
        <w:t>usive on the one hand or</w:t>
      </w:r>
      <w:r w:rsidR="00D34FB9">
        <w:rPr>
          <w:rFonts w:ascii="Times New Roman" w:hAnsi="Times New Roman"/>
        </w:rPr>
        <w:t xml:space="preserve"> overwhelming on the other.</w:t>
      </w:r>
      <w:r w:rsidR="00792CD9">
        <w:rPr>
          <w:rFonts w:ascii="Times New Roman" w:hAnsi="Times New Roman"/>
        </w:rPr>
        <w:t xml:space="preserve"> These concepts formed the foundation for implementing a process approach to yout</w:t>
      </w:r>
      <w:r w:rsidR="00D87B94">
        <w:rPr>
          <w:rFonts w:ascii="Times New Roman" w:hAnsi="Times New Roman"/>
        </w:rPr>
        <w:t>h services for guiding students through the stages of</w:t>
      </w:r>
      <w:r w:rsidR="00792CD9">
        <w:rPr>
          <w:rFonts w:ascii="Times New Roman" w:hAnsi="Times New Roman"/>
        </w:rPr>
        <w:t xml:space="preserve"> inquiry learning.</w:t>
      </w:r>
    </w:p>
    <w:p w:rsidR="00920C74" w:rsidRDefault="00920C74">
      <w:pPr>
        <w:rPr>
          <w:rFonts w:ascii="Times New Roman" w:hAnsi="Times New Roman"/>
          <w:b/>
        </w:rPr>
      </w:pPr>
      <w:r w:rsidRPr="00A36994">
        <w:rPr>
          <w:rFonts w:ascii="Times New Roman" w:hAnsi="Times New Roman"/>
          <w:b/>
        </w:rPr>
        <w:t>Design Application for Implementation</w:t>
      </w:r>
    </w:p>
    <w:p w:rsidR="00F41106" w:rsidRDefault="00321C98">
      <w:pPr>
        <w:rPr>
          <w:rFonts w:ascii="Times New Roman" w:hAnsi="Times New Roman"/>
        </w:rPr>
      </w:pPr>
      <w:r>
        <w:rPr>
          <w:rFonts w:ascii="Times New Roman" w:hAnsi="Times New Roman"/>
        </w:rPr>
        <w:t>My research</w:t>
      </w:r>
      <w:r w:rsidR="00C65D89">
        <w:rPr>
          <w:rFonts w:ascii="Times New Roman" w:hAnsi="Times New Roman"/>
        </w:rPr>
        <w:t xml:space="preserve"> is based in youth services that enable students to seek meaning in complex information environments and to continue to learn throughout their lives. </w:t>
      </w:r>
      <w:r w:rsidR="00D34FB9">
        <w:rPr>
          <w:rFonts w:ascii="Times New Roman" w:hAnsi="Times New Roman"/>
        </w:rPr>
        <w:t xml:space="preserve">Application for implementation of the ISP can be tracked in my publications and is particularly obvious in the books I have written.  The findings of the initial study and application with middle and secondary school students were developed in my book </w:t>
      </w:r>
      <w:r w:rsidR="00D34FB9">
        <w:rPr>
          <w:rFonts w:ascii="Times New Roman" w:hAnsi="Times New Roman"/>
          <w:i/>
        </w:rPr>
        <w:t xml:space="preserve">Teaching the Library Research Process </w:t>
      </w:r>
      <w:r w:rsidR="00D34FB9">
        <w:rPr>
          <w:rFonts w:ascii="Times New Roman" w:hAnsi="Times New Roman"/>
        </w:rPr>
        <w:t>first published in 1985 with 2</w:t>
      </w:r>
      <w:r w:rsidR="00D34FB9" w:rsidRPr="00D34FB9">
        <w:rPr>
          <w:rFonts w:ascii="Times New Roman" w:hAnsi="Times New Roman"/>
          <w:vertAlign w:val="superscript"/>
        </w:rPr>
        <w:t>nd</w:t>
      </w:r>
      <w:r w:rsidR="00D34FB9">
        <w:rPr>
          <w:rFonts w:ascii="Times New Roman" w:hAnsi="Times New Roman"/>
        </w:rPr>
        <w:t xml:space="preserve"> edition still in print.  My book, </w:t>
      </w:r>
      <w:r w:rsidR="00AB4CF5">
        <w:rPr>
          <w:rFonts w:ascii="Times New Roman" w:hAnsi="Times New Roman"/>
          <w:i/>
        </w:rPr>
        <w:t>Seeking Meaning: A Process Approach to Library and Information S</w:t>
      </w:r>
      <w:r w:rsidR="00E25FE0">
        <w:rPr>
          <w:rFonts w:ascii="Times New Roman" w:hAnsi="Times New Roman"/>
          <w:i/>
        </w:rPr>
        <w:t xml:space="preserve">ervices </w:t>
      </w:r>
      <w:r w:rsidR="00E25FE0">
        <w:rPr>
          <w:rFonts w:ascii="Times New Roman" w:hAnsi="Times New Roman"/>
        </w:rPr>
        <w:t xml:space="preserve">1st edition in 1993 and 2nd in 2004, was aimed at explaining the research underlying the ISP and recommending strategies for implementation in practice.  My latest work on Guided Inquiry applies the </w:t>
      </w:r>
      <w:r w:rsidR="001A35B7">
        <w:rPr>
          <w:rFonts w:ascii="Times New Roman" w:hAnsi="Times New Roman"/>
        </w:rPr>
        <w:t xml:space="preserve">model of the </w:t>
      </w:r>
      <w:r w:rsidR="00E25FE0">
        <w:rPr>
          <w:rFonts w:ascii="Times New Roman" w:hAnsi="Times New Roman"/>
        </w:rPr>
        <w:t>I</w:t>
      </w:r>
      <w:r w:rsidR="00AB4CF5">
        <w:rPr>
          <w:rFonts w:ascii="Times New Roman" w:hAnsi="Times New Roman"/>
        </w:rPr>
        <w:t>SP to rethink</w:t>
      </w:r>
      <w:r w:rsidR="00E25FE0">
        <w:rPr>
          <w:rFonts w:ascii="Times New Roman" w:hAnsi="Times New Roman"/>
        </w:rPr>
        <w:t xml:space="preserve"> youth services </w:t>
      </w:r>
      <w:r w:rsidR="001A35B7">
        <w:rPr>
          <w:rFonts w:ascii="Times New Roman" w:hAnsi="Times New Roman"/>
        </w:rPr>
        <w:t>for improving</w:t>
      </w:r>
      <w:r w:rsidR="00E25FE0">
        <w:rPr>
          <w:rFonts w:ascii="Times New Roman" w:hAnsi="Times New Roman"/>
        </w:rPr>
        <w:t xml:space="preserve"> learning in the in</w:t>
      </w:r>
      <w:r w:rsidR="00AB4CF5">
        <w:rPr>
          <w:rFonts w:ascii="Times New Roman" w:hAnsi="Times New Roman"/>
        </w:rPr>
        <w:t>formation intensive environment</w:t>
      </w:r>
      <w:r w:rsidR="00E25FE0">
        <w:rPr>
          <w:rFonts w:ascii="Times New Roman" w:hAnsi="Times New Roman"/>
        </w:rPr>
        <w:t xml:space="preserve">.  The foundational text in this series is </w:t>
      </w:r>
      <w:r w:rsidR="00E25FE0">
        <w:rPr>
          <w:rFonts w:ascii="Times New Roman" w:hAnsi="Times New Roman"/>
          <w:i/>
        </w:rPr>
        <w:t>Guided Inquiry: Learning in the 21</w:t>
      </w:r>
      <w:r w:rsidR="00E25FE0" w:rsidRPr="00E25FE0">
        <w:rPr>
          <w:rFonts w:ascii="Times New Roman" w:hAnsi="Times New Roman"/>
          <w:i/>
          <w:vertAlign w:val="superscript"/>
        </w:rPr>
        <w:t>st</w:t>
      </w:r>
      <w:r w:rsidR="00E25FE0">
        <w:rPr>
          <w:rFonts w:ascii="Times New Roman" w:hAnsi="Times New Roman"/>
          <w:i/>
        </w:rPr>
        <w:t xml:space="preserve"> Century </w:t>
      </w:r>
      <w:r w:rsidR="00E25FE0">
        <w:rPr>
          <w:rFonts w:ascii="Times New Roman" w:hAnsi="Times New Roman"/>
        </w:rPr>
        <w:t xml:space="preserve">written with Leslie Maniotes and Ann </w:t>
      </w:r>
      <w:proofErr w:type="spellStart"/>
      <w:r w:rsidR="00E25FE0">
        <w:rPr>
          <w:rFonts w:ascii="Times New Roman" w:hAnsi="Times New Roman"/>
        </w:rPr>
        <w:t>Caspari</w:t>
      </w:r>
      <w:proofErr w:type="spellEnd"/>
      <w:r w:rsidR="00E25FE0">
        <w:rPr>
          <w:rFonts w:ascii="Times New Roman" w:hAnsi="Times New Roman"/>
        </w:rPr>
        <w:t xml:space="preserve"> publi</w:t>
      </w:r>
      <w:r w:rsidR="001A35B7">
        <w:rPr>
          <w:rFonts w:ascii="Times New Roman" w:hAnsi="Times New Roman"/>
        </w:rPr>
        <w:t>shed in 2007 and a new book</w:t>
      </w:r>
      <w:r w:rsidR="00E25FE0">
        <w:rPr>
          <w:rFonts w:ascii="Times New Roman" w:hAnsi="Times New Roman"/>
        </w:rPr>
        <w:t xml:space="preserve"> </w:t>
      </w:r>
      <w:r w:rsidR="00E25FE0">
        <w:rPr>
          <w:rFonts w:ascii="Times New Roman" w:hAnsi="Times New Roman"/>
          <w:i/>
        </w:rPr>
        <w:t>Guided Inquiry Design: A Framework for Inquiry in Your School</w:t>
      </w:r>
      <w:r w:rsidR="00E25FE0">
        <w:rPr>
          <w:rFonts w:ascii="Times New Roman" w:hAnsi="Times New Roman"/>
        </w:rPr>
        <w:t xml:space="preserve"> </w:t>
      </w:r>
      <w:r w:rsidR="001A35B7">
        <w:rPr>
          <w:rFonts w:ascii="Times New Roman" w:hAnsi="Times New Roman"/>
        </w:rPr>
        <w:t xml:space="preserve">(2012) </w:t>
      </w:r>
      <w:r w:rsidR="00E25FE0">
        <w:rPr>
          <w:rFonts w:ascii="Times New Roman" w:hAnsi="Times New Roman"/>
        </w:rPr>
        <w:t>that explains a</w:t>
      </w:r>
      <w:r w:rsidR="00C86006">
        <w:rPr>
          <w:rFonts w:ascii="Times New Roman" w:hAnsi="Times New Roman"/>
        </w:rPr>
        <w:t xml:space="preserve"> collaborative team approach to</w:t>
      </w:r>
      <w:r w:rsidR="00C65D89">
        <w:rPr>
          <w:rFonts w:ascii="Times New Roman" w:hAnsi="Times New Roman"/>
        </w:rPr>
        <w:t xml:space="preserve"> </w:t>
      </w:r>
      <w:r w:rsidR="00E25FE0">
        <w:rPr>
          <w:rFonts w:ascii="Times New Roman" w:hAnsi="Times New Roman"/>
        </w:rPr>
        <w:t>design and implement Guided Inquiry in youth services grounded in the ISP research.</w:t>
      </w:r>
      <w:r w:rsidR="00C65D89">
        <w:rPr>
          <w:rFonts w:ascii="Times New Roman" w:hAnsi="Times New Roman"/>
        </w:rPr>
        <w:t xml:space="preserve"> </w:t>
      </w:r>
    </w:p>
    <w:p w:rsidR="00920C74" w:rsidRDefault="00F41106">
      <w:pPr>
        <w:rPr>
          <w:rFonts w:ascii="Times New Roman" w:hAnsi="Times New Roman"/>
        </w:rPr>
      </w:pPr>
      <w:r>
        <w:rPr>
          <w:rFonts w:ascii="Times New Roman" w:hAnsi="Times New Roman"/>
        </w:rPr>
        <w:t xml:space="preserve"> </w:t>
      </w:r>
      <w:r w:rsidR="00920C74">
        <w:rPr>
          <w:rFonts w:ascii="Times New Roman" w:hAnsi="Times New Roman"/>
          <w:b/>
        </w:rPr>
        <w:t>Look to the Future</w:t>
      </w:r>
    </w:p>
    <w:p w:rsidR="00C13546" w:rsidRDefault="00920C74">
      <w:pPr>
        <w:rPr>
          <w:rFonts w:ascii="Times New Roman" w:hAnsi="Times New Roman"/>
        </w:rPr>
      </w:pPr>
      <w:r>
        <w:rPr>
          <w:rFonts w:ascii="Times New Roman" w:hAnsi="Times New Roman"/>
        </w:rPr>
        <w:t xml:space="preserve">These studies were among the first to investigate the affective aspects </w:t>
      </w:r>
      <w:r w:rsidR="00321C98">
        <w:rPr>
          <w:rFonts w:ascii="Times New Roman" w:hAnsi="Times New Roman"/>
        </w:rPr>
        <w:t xml:space="preserve">or the feelings </w:t>
      </w:r>
      <w:proofErr w:type="gramStart"/>
      <w:r w:rsidR="00321C98">
        <w:rPr>
          <w:rFonts w:ascii="Times New Roman" w:hAnsi="Times New Roman"/>
        </w:rPr>
        <w:t xml:space="preserve">of </w:t>
      </w:r>
      <w:r>
        <w:rPr>
          <w:rFonts w:ascii="Times New Roman" w:hAnsi="Times New Roman"/>
        </w:rPr>
        <w:t xml:space="preserve"> student</w:t>
      </w:r>
      <w:r w:rsidR="00321C98">
        <w:rPr>
          <w:rFonts w:ascii="Times New Roman" w:hAnsi="Times New Roman"/>
        </w:rPr>
        <w:t>s</w:t>
      </w:r>
      <w:proofErr w:type="gramEnd"/>
      <w:r>
        <w:rPr>
          <w:rFonts w:ascii="Times New Roman" w:hAnsi="Times New Roman"/>
        </w:rPr>
        <w:t xml:space="preserve"> in the process of learning from a varie</w:t>
      </w:r>
      <w:r w:rsidR="00C13546">
        <w:rPr>
          <w:rFonts w:ascii="Times New Roman" w:hAnsi="Times New Roman"/>
        </w:rPr>
        <w:t>ty of sources of information along with the cognitive and physical aspects.  Advances in information technology that open</w:t>
      </w:r>
      <w:r w:rsidR="00C65D89">
        <w:rPr>
          <w:rFonts w:ascii="Times New Roman" w:hAnsi="Times New Roman"/>
        </w:rPr>
        <w:t>ed</w:t>
      </w:r>
      <w:r w:rsidR="00C13546">
        <w:rPr>
          <w:rFonts w:ascii="Times New Roman" w:hAnsi="Times New Roman"/>
        </w:rPr>
        <w:t xml:space="preserve"> access to a vast assor</w:t>
      </w:r>
      <w:r w:rsidR="00C65D89">
        <w:rPr>
          <w:rFonts w:ascii="Times New Roman" w:hAnsi="Times New Roman"/>
        </w:rPr>
        <w:t>tment of sources have not eased</w:t>
      </w:r>
      <w:r w:rsidR="00C13546">
        <w:rPr>
          <w:rFonts w:ascii="Times New Roman" w:hAnsi="Times New Roman"/>
        </w:rPr>
        <w:t xml:space="preserve"> the student’s dilemma and may have intensified the sense of confusion and uncertainty until a focus is formed to provide a path fo</w:t>
      </w:r>
      <w:r w:rsidR="00C65D89">
        <w:rPr>
          <w:rFonts w:ascii="Times New Roman" w:hAnsi="Times New Roman"/>
        </w:rPr>
        <w:t>r seeking meaning</w:t>
      </w:r>
      <w:r w:rsidR="00C13546">
        <w:rPr>
          <w:rFonts w:ascii="Times New Roman" w:hAnsi="Times New Roman"/>
        </w:rPr>
        <w:t>.  Information systems may intensify the problem particularly in the early stages by overwhelming the</w:t>
      </w:r>
      <w:r w:rsidR="00C65D89">
        <w:rPr>
          <w:rFonts w:ascii="Times New Roman" w:hAnsi="Times New Roman"/>
        </w:rPr>
        <w:t xml:space="preserve"> </w:t>
      </w:r>
      <w:r w:rsidR="00C13546">
        <w:rPr>
          <w:rFonts w:ascii="Times New Roman" w:hAnsi="Times New Roman"/>
        </w:rPr>
        <w:t>use</w:t>
      </w:r>
      <w:r w:rsidR="00C65D89">
        <w:rPr>
          <w:rFonts w:ascii="Times New Roman" w:hAnsi="Times New Roman"/>
        </w:rPr>
        <w:t>r with every</w:t>
      </w:r>
      <w:r w:rsidR="00C13546">
        <w:rPr>
          <w:rFonts w:ascii="Times New Roman" w:hAnsi="Times New Roman"/>
        </w:rPr>
        <w:t xml:space="preserve">thing all at once.  </w:t>
      </w:r>
    </w:p>
    <w:p w:rsidR="00F41106" w:rsidRPr="00920C74" w:rsidRDefault="00C13546">
      <w:pPr>
        <w:rPr>
          <w:rFonts w:ascii="Times New Roman" w:hAnsi="Times New Roman"/>
        </w:rPr>
      </w:pPr>
      <w:r>
        <w:rPr>
          <w:rFonts w:ascii="Times New Roman" w:hAnsi="Times New Roman"/>
        </w:rPr>
        <w:t>Recent developments in brain science have confirmed the close relation between emotion and cognition.  The future holds interesting prospects for research into the student’s experience in the process of learning from multiple sources of information.  The work on the ISP has opened paths to understanding learning and creativity in rich in</w:t>
      </w:r>
      <w:r w:rsidR="00C65D89">
        <w:rPr>
          <w:rFonts w:ascii="Times New Roman" w:hAnsi="Times New Roman"/>
        </w:rPr>
        <w:t>formation environments.  This is</w:t>
      </w:r>
      <w:r>
        <w:rPr>
          <w:rFonts w:ascii="Times New Roman" w:hAnsi="Times New Roman"/>
        </w:rPr>
        <w:t xml:space="preserve"> only the beginning of our research journey into the challenging field of library and information services for youth in the 21</w:t>
      </w:r>
      <w:r w:rsidRPr="00C13546">
        <w:rPr>
          <w:rFonts w:ascii="Times New Roman" w:hAnsi="Times New Roman"/>
          <w:vertAlign w:val="superscript"/>
        </w:rPr>
        <w:t>st</w:t>
      </w:r>
      <w:r w:rsidR="00C65D89">
        <w:rPr>
          <w:rFonts w:ascii="Times New Roman" w:hAnsi="Times New Roman"/>
        </w:rPr>
        <w:t xml:space="preserve"> century.  </w:t>
      </w:r>
      <w:r w:rsidR="003C1D94">
        <w:rPr>
          <w:rFonts w:ascii="Times New Roman" w:hAnsi="Times New Roman"/>
        </w:rPr>
        <w:t>In order to continue to provide the most relevant, meaningful service for young people</w:t>
      </w:r>
      <w:r w:rsidR="00C86006">
        <w:rPr>
          <w:rFonts w:ascii="Times New Roman" w:hAnsi="Times New Roman"/>
        </w:rPr>
        <w:t>,</w:t>
      </w:r>
      <w:r w:rsidR="003C1D94">
        <w:rPr>
          <w:rFonts w:ascii="Times New Roman" w:hAnsi="Times New Roman"/>
        </w:rPr>
        <w:t xml:space="preserve"> research will need to be fully recognized and established as an essential component. </w:t>
      </w:r>
      <w:r w:rsidR="00C65D89">
        <w:rPr>
          <w:rFonts w:ascii="Times New Roman" w:hAnsi="Times New Roman"/>
        </w:rPr>
        <w:t xml:space="preserve">Research matters. </w:t>
      </w:r>
    </w:p>
    <w:p w:rsidR="00F41106" w:rsidRDefault="00F41106">
      <w:pPr>
        <w:rPr>
          <w:rFonts w:ascii="Times New Roman" w:hAnsi="Times New Roman"/>
        </w:rPr>
      </w:pPr>
    </w:p>
    <w:p w:rsidR="00C65D89" w:rsidRDefault="00C65D89">
      <w:pPr>
        <w:rPr>
          <w:rFonts w:ascii="Times New Roman" w:hAnsi="Times New Roman"/>
        </w:rPr>
      </w:pPr>
    </w:p>
    <w:p w:rsidR="00D31781" w:rsidRDefault="00D31781">
      <w:pPr>
        <w:rPr>
          <w:rFonts w:ascii="Times New Roman" w:hAnsi="Times New Roman"/>
        </w:rPr>
      </w:pPr>
    </w:p>
    <w:p w:rsidR="00D31781" w:rsidRDefault="00D31781">
      <w:pPr>
        <w:rPr>
          <w:rFonts w:ascii="Times New Roman" w:hAnsi="Times New Roman"/>
        </w:rPr>
      </w:pPr>
    </w:p>
    <w:p w:rsidR="00D31781" w:rsidRDefault="00D31781">
      <w:pPr>
        <w:rPr>
          <w:rFonts w:ascii="Times New Roman" w:hAnsi="Times New Roman"/>
        </w:rPr>
      </w:pPr>
    </w:p>
    <w:p w:rsidR="00D31781" w:rsidRDefault="00D31781">
      <w:pPr>
        <w:rPr>
          <w:rFonts w:ascii="Times New Roman" w:hAnsi="Times New Roman"/>
        </w:rPr>
      </w:pPr>
    </w:p>
    <w:p w:rsidR="00D31781" w:rsidRDefault="00D31781">
      <w:pPr>
        <w:rPr>
          <w:rFonts w:ascii="Times New Roman" w:hAnsi="Times New Roman"/>
        </w:rPr>
      </w:pPr>
    </w:p>
    <w:p w:rsidR="00D31781" w:rsidRDefault="00D31781">
      <w:pPr>
        <w:rPr>
          <w:rFonts w:ascii="Times New Roman" w:hAnsi="Times New Roman"/>
        </w:rPr>
      </w:pPr>
    </w:p>
    <w:p w:rsidR="00920C74" w:rsidRDefault="00E62963">
      <w:pPr>
        <w:rPr>
          <w:rFonts w:ascii="Times New Roman" w:hAnsi="Times New Roman"/>
        </w:rPr>
      </w:pPr>
      <w:r>
        <w:rPr>
          <w:rFonts w:ascii="Times New Roman" w:hAnsi="Times New Roman"/>
        </w:rPr>
        <w:t>References</w:t>
      </w:r>
    </w:p>
    <w:p w:rsidR="00E62963" w:rsidRPr="00D31781" w:rsidRDefault="00D31781">
      <w:pPr>
        <w:rPr>
          <w:rFonts w:ascii="Times New Roman" w:hAnsi="Times New Roman"/>
        </w:rPr>
      </w:pPr>
      <w:r>
        <w:rPr>
          <w:rFonts w:ascii="Times New Roman" w:hAnsi="Times New Roman"/>
        </w:rPr>
        <w:t>Carol C. Kuhlthau</w:t>
      </w:r>
      <w:proofErr w:type="gramStart"/>
      <w:r>
        <w:rPr>
          <w:rFonts w:ascii="Times New Roman" w:hAnsi="Times New Roman"/>
        </w:rPr>
        <w:t xml:space="preserve">, </w:t>
      </w:r>
      <w:r w:rsidR="00C86006">
        <w:rPr>
          <w:rFonts w:ascii="Times New Roman" w:hAnsi="Times New Roman"/>
        </w:rPr>
        <w:t xml:space="preserve"> </w:t>
      </w:r>
      <w:r w:rsidR="00920C74" w:rsidRPr="00D31781">
        <w:rPr>
          <w:rFonts w:ascii="Times New Roman" w:hAnsi="Times New Roman"/>
          <w:i/>
        </w:rPr>
        <w:t>Teaching</w:t>
      </w:r>
      <w:proofErr w:type="gramEnd"/>
      <w:r w:rsidR="00920C74" w:rsidRPr="00D31781">
        <w:rPr>
          <w:rFonts w:ascii="Times New Roman" w:hAnsi="Times New Roman"/>
          <w:i/>
        </w:rPr>
        <w:t xml:space="preserve"> the Library Research Process</w:t>
      </w:r>
      <w:r>
        <w:rPr>
          <w:rFonts w:ascii="Times New Roman" w:hAnsi="Times New Roman"/>
        </w:rPr>
        <w:t xml:space="preserve"> (</w:t>
      </w:r>
      <w:r w:rsidR="00054FEE">
        <w:rPr>
          <w:rFonts w:ascii="Times New Roman" w:hAnsi="Times New Roman"/>
        </w:rPr>
        <w:t xml:space="preserve">Latham, Maryland, </w:t>
      </w:r>
      <w:r>
        <w:rPr>
          <w:rFonts w:ascii="Times New Roman" w:hAnsi="Times New Roman"/>
        </w:rPr>
        <w:t>Scarecrow Press, 1994) 2</w:t>
      </w:r>
      <w:r w:rsidRPr="00D31781">
        <w:rPr>
          <w:rFonts w:ascii="Times New Roman" w:hAnsi="Times New Roman"/>
          <w:vertAlign w:val="superscript"/>
        </w:rPr>
        <w:t>nd</w:t>
      </w:r>
      <w:r>
        <w:rPr>
          <w:rFonts w:ascii="Times New Roman" w:hAnsi="Times New Roman"/>
        </w:rPr>
        <w:t xml:space="preserve"> edition.</w:t>
      </w:r>
    </w:p>
    <w:p w:rsidR="00E62963" w:rsidRPr="00D31781" w:rsidRDefault="00D31781">
      <w:pPr>
        <w:rPr>
          <w:rFonts w:ascii="Times New Roman" w:hAnsi="Times New Roman"/>
        </w:rPr>
      </w:pPr>
      <w:r>
        <w:rPr>
          <w:rFonts w:ascii="Times New Roman" w:hAnsi="Times New Roman"/>
        </w:rPr>
        <w:t>Carol C. Kuhlthau</w:t>
      </w:r>
      <w:proofErr w:type="gramStart"/>
      <w:r>
        <w:rPr>
          <w:rFonts w:ascii="Times New Roman" w:hAnsi="Times New Roman"/>
        </w:rPr>
        <w:t xml:space="preserve">, </w:t>
      </w:r>
      <w:r w:rsidR="00C86006">
        <w:rPr>
          <w:rFonts w:ascii="Times New Roman" w:hAnsi="Times New Roman"/>
        </w:rPr>
        <w:t xml:space="preserve"> </w:t>
      </w:r>
      <w:r w:rsidR="00E62963" w:rsidRPr="00D31781">
        <w:rPr>
          <w:rFonts w:ascii="Times New Roman" w:hAnsi="Times New Roman"/>
          <w:i/>
        </w:rPr>
        <w:t>Seeking</w:t>
      </w:r>
      <w:proofErr w:type="gramEnd"/>
      <w:r w:rsidR="00E62963" w:rsidRPr="00D31781">
        <w:rPr>
          <w:rFonts w:ascii="Times New Roman" w:hAnsi="Times New Roman"/>
          <w:i/>
        </w:rPr>
        <w:t xml:space="preserve"> Meaning</w:t>
      </w:r>
      <w:r>
        <w:rPr>
          <w:rFonts w:ascii="Times New Roman" w:hAnsi="Times New Roman"/>
          <w:i/>
        </w:rPr>
        <w:t>: A Process Approach to Library and Information Services</w:t>
      </w:r>
      <w:r>
        <w:rPr>
          <w:rFonts w:ascii="Times New Roman" w:hAnsi="Times New Roman"/>
        </w:rPr>
        <w:t xml:space="preserve"> (</w:t>
      </w:r>
      <w:r w:rsidR="00C86006">
        <w:rPr>
          <w:rFonts w:ascii="Times New Roman" w:hAnsi="Times New Roman"/>
        </w:rPr>
        <w:t xml:space="preserve">Westport, Connecticut, </w:t>
      </w:r>
      <w:r>
        <w:rPr>
          <w:rFonts w:ascii="Times New Roman" w:hAnsi="Times New Roman"/>
        </w:rPr>
        <w:t>Libraries Unlimited, 2004) 2</w:t>
      </w:r>
      <w:r w:rsidRPr="00D31781">
        <w:rPr>
          <w:rFonts w:ascii="Times New Roman" w:hAnsi="Times New Roman"/>
          <w:vertAlign w:val="superscript"/>
        </w:rPr>
        <w:t>nd</w:t>
      </w:r>
      <w:r>
        <w:rPr>
          <w:rFonts w:ascii="Times New Roman" w:hAnsi="Times New Roman"/>
        </w:rPr>
        <w:t xml:space="preserve"> edition.</w:t>
      </w:r>
    </w:p>
    <w:p w:rsidR="00E62963" w:rsidRPr="00D31781" w:rsidRDefault="00D31781">
      <w:pPr>
        <w:rPr>
          <w:rFonts w:ascii="Times New Roman" w:hAnsi="Times New Roman"/>
        </w:rPr>
      </w:pPr>
      <w:r>
        <w:rPr>
          <w:rFonts w:ascii="Times New Roman" w:hAnsi="Times New Roman"/>
        </w:rPr>
        <w:t xml:space="preserve">Carol C. Kuhlthau, Leslie K. Maniotes, and Ann K. </w:t>
      </w:r>
      <w:proofErr w:type="spellStart"/>
      <w:r>
        <w:rPr>
          <w:rFonts w:ascii="Times New Roman" w:hAnsi="Times New Roman"/>
        </w:rPr>
        <w:t>Caspari</w:t>
      </w:r>
      <w:proofErr w:type="spellEnd"/>
      <w:r>
        <w:rPr>
          <w:rFonts w:ascii="Times New Roman" w:hAnsi="Times New Roman"/>
        </w:rPr>
        <w:t xml:space="preserve">, </w:t>
      </w:r>
      <w:r w:rsidR="00E62963" w:rsidRPr="00D31781">
        <w:rPr>
          <w:rFonts w:ascii="Times New Roman" w:hAnsi="Times New Roman"/>
          <w:i/>
        </w:rPr>
        <w:t>Guided Inquiry: Learning in the 21</w:t>
      </w:r>
      <w:r w:rsidR="00E62963" w:rsidRPr="00D31781">
        <w:rPr>
          <w:rFonts w:ascii="Times New Roman" w:hAnsi="Times New Roman"/>
          <w:i/>
          <w:vertAlign w:val="superscript"/>
        </w:rPr>
        <w:t>st</w:t>
      </w:r>
      <w:r w:rsidR="00E62963" w:rsidRPr="00D31781">
        <w:rPr>
          <w:rFonts w:ascii="Times New Roman" w:hAnsi="Times New Roman"/>
          <w:i/>
        </w:rPr>
        <w:t xml:space="preserve"> Century</w:t>
      </w:r>
      <w:r>
        <w:rPr>
          <w:rFonts w:ascii="Times New Roman" w:hAnsi="Times New Roman"/>
        </w:rPr>
        <w:t xml:space="preserve"> (</w:t>
      </w:r>
      <w:r w:rsidR="00C86006">
        <w:rPr>
          <w:rFonts w:ascii="Times New Roman" w:hAnsi="Times New Roman"/>
        </w:rPr>
        <w:t xml:space="preserve">Westport, Connecticut, </w:t>
      </w:r>
      <w:r>
        <w:rPr>
          <w:rFonts w:ascii="Times New Roman" w:hAnsi="Times New Roman"/>
        </w:rPr>
        <w:t xml:space="preserve">Libraries Unlimited, 2007). </w:t>
      </w:r>
    </w:p>
    <w:p w:rsidR="006A2628" w:rsidRDefault="00D31781">
      <w:pPr>
        <w:rPr>
          <w:rFonts w:ascii="Times New Roman" w:hAnsi="Times New Roman"/>
        </w:rPr>
      </w:pPr>
      <w:r>
        <w:rPr>
          <w:rFonts w:ascii="Times New Roman" w:hAnsi="Times New Roman"/>
        </w:rPr>
        <w:t xml:space="preserve">Carol C. Kuhlthau, Leslie K. Maniotes, and Ann K. </w:t>
      </w:r>
      <w:proofErr w:type="spellStart"/>
      <w:r>
        <w:rPr>
          <w:rFonts w:ascii="Times New Roman" w:hAnsi="Times New Roman"/>
        </w:rPr>
        <w:t>Caspari</w:t>
      </w:r>
      <w:proofErr w:type="spellEnd"/>
      <w:r>
        <w:rPr>
          <w:rFonts w:ascii="Times New Roman" w:hAnsi="Times New Roman"/>
        </w:rPr>
        <w:t xml:space="preserve">, </w:t>
      </w:r>
      <w:r>
        <w:rPr>
          <w:rFonts w:ascii="Times New Roman" w:hAnsi="Times New Roman"/>
          <w:i/>
        </w:rPr>
        <w:t>Guided Inquiry Design: A Framework for Inquiry in Your School</w:t>
      </w:r>
      <w:r>
        <w:rPr>
          <w:rFonts w:ascii="Times New Roman" w:hAnsi="Times New Roman"/>
        </w:rPr>
        <w:t xml:space="preserve"> (</w:t>
      </w:r>
      <w:r w:rsidR="00C86006">
        <w:rPr>
          <w:rFonts w:ascii="Times New Roman" w:hAnsi="Times New Roman"/>
        </w:rPr>
        <w:t xml:space="preserve">Westport, Connecticut, </w:t>
      </w:r>
      <w:r>
        <w:rPr>
          <w:rFonts w:ascii="Times New Roman" w:hAnsi="Times New Roman"/>
        </w:rPr>
        <w:t>Libraries Unlimited, 2012)</w:t>
      </w:r>
    </w:p>
    <w:p w:rsidR="003C1D94" w:rsidRDefault="003C1D94" w:rsidP="003C1D94">
      <w:pPr>
        <w:rPr>
          <w:rFonts w:ascii="Times New Roman" w:hAnsi="Times New Roman"/>
        </w:rPr>
      </w:pPr>
    </w:p>
    <w:p w:rsidR="00A12EA3" w:rsidRDefault="00A12EA3">
      <w:pPr>
        <w:rPr>
          <w:rFonts w:ascii="Times New Roman" w:hAnsi="Times New Roman"/>
        </w:rPr>
      </w:pPr>
    </w:p>
    <w:p w:rsidR="00A12EA3" w:rsidRDefault="00027F05">
      <w:pPr>
        <w:rPr>
          <w:rFonts w:ascii="Times New Roman" w:hAnsi="Times New Roman"/>
        </w:rPr>
      </w:pPr>
      <w:r>
        <w:rPr>
          <w:rFonts w:ascii="Times New Roman" w:hAnsi="Times New Roman"/>
        </w:rPr>
        <w:t>(Insert Fig. Model of ISP)</w:t>
      </w:r>
    </w:p>
    <w:p w:rsidR="00027F05" w:rsidRDefault="00027F05" w:rsidP="00027F05">
      <w:pPr>
        <w:pStyle w:val="BodyTextIndent"/>
        <w:ind w:firstLine="0"/>
        <w:jc w:val="center"/>
      </w:pPr>
      <w:r>
        <w:t>Information Search Process</w:t>
      </w:r>
    </w:p>
    <w:tbl>
      <w:tblPr>
        <w:tblW w:w="11160" w:type="dxa"/>
        <w:tblInd w:w="-1152" w:type="dxa"/>
        <w:tblBorders>
          <w:top w:val="single" w:sz="12" w:space="0" w:color="008000"/>
          <w:left w:val="nil"/>
          <w:bottom w:val="single" w:sz="12" w:space="0" w:color="008000"/>
          <w:right w:val="nil"/>
          <w:insideH w:val="nil"/>
          <w:insideV w:val="nil"/>
        </w:tblBorders>
        <w:tblLayout w:type="fixed"/>
        <w:tblLook w:val="00BF"/>
      </w:tblPr>
      <w:tblGrid>
        <w:gridCol w:w="1350"/>
        <w:gridCol w:w="1260"/>
        <w:gridCol w:w="1080"/>
        <w:gridCol w:w="1260"/>
        <w:gridCol w:w="1440"/>
        <w:gridCol w:w="1800"/>
        <w:gridCol w:w="1620"/>
        <w:gridCol w:w="1350"/>
      </w:tblGrid>
      <w:tr w:rsidR="00027F05">
        <w:tc>
          <w:tcPr>
            <w:tcW w:w="1350" w:type="dxa"/>
            <w:tcBorders>
              <w:bottom w:val="single" w:sz="6" w:space="0" w:color="008000"/>
            </w:tcBorders>
          </w:tcPr>
          <w:p w:rsidR="00027F05" w:rsidRDefault="00027F05">
            <w:pPr>
              <w:pStyle w:val="BodyTextIndent"/>
              <w:ind w:firstLine="0"/>
            </w:pPr>
          </w:p>
        </w:tc>
        <w:tc>
          <w:tcPr>
            <w:tcW w:w="1260" w:type="dxa"/>
            <w:tcBorders>
              <w:bottom w:val="single" w:sz="6" w:space="0" w:color="008000"/>
            </w:tcBorders>
          </w:tcPr>
          <w:p w:rsidR="00027F05" w:rsidRDefault="00027F05">
            <w:pPr>
              <w:pStyle w:val="BodyTextIndent"/>
              <w:ind w:firstLine="0"/>
              <w:rPr>
                <w:sz w:val="22"/>
                <w:szCs w:val="22"/>
              </w:rPr>
            </w:pPr>
            <w:r>
              <w:rPr>
                <w:sz w:val="22"/>
                <w:szCs w:val="22"/>
              </w:rPr>
              <w:t>Initiation</w:t>
            </w:r>
          </w:p>
        </w:tc>
        <w:tc>
          <w:tcPr>
            <w:tcW w:w="1080" w:type="dxa"/>
            <w:tcBorders>
              <w:bottom w:val="single" w:sz="6" w:space="0" w:color="008000"/>
            </w:tcBorders>
          </w:tcPr>
          <w:p w:rsidR="00027F05" w:rsidRDefault="00027F05">
            <w:pPr>
              <w:pStyle w:val="BodyTextIndent"/>
              <w:ind w:firstLine="0"/>
              <w:rPr>
                <w:sz w:val="22"/>
                <w:szCs w:val="22"/>
              </w:rPr>
            </w:pPr>
            <w:r>
              <w:rPr>
                <w:sz w:val="22"/>
                <w:szCs w:val="22"/>
              </w:rPr>
              <w:t>Selection</w:t>
            </w:r>
          </w:p>
        </w:tc>
        <w:tc>
          <w:tcPr>
            <w:tcW w:w="1260" w:type="dxa"/>
            <w:tcBorders>
              <w:bottom w:val="single" w:sz="6" w:space="0" w:color="008000"/>
            </w:tcBorders>
          </w:tcPr>
          <w:p w:rsidR="00027F05" w:rsidRDefault="00027F05">
            <w:pPr>
              <w:pStyle w:val="BodyTextIndent"/>
              <w:ind w:firstLine="0"/>
              <w:rPr>
                <w:sz w:val="22"/>
                <w:szCs w:val="22"/>
              </w:rPr>
            </w:pPr>
            <w:r>
              <w:rPr>
                <w:sz w:val="22"/>
                <w:szCs w:val="22"/>
              </w:rPr>
              <w:t>Exploration</w:t>
            </w:r>
          </w:p>
        </w:tc>
        <w:tc>
          <w:tcPr>
            <w:tcW w:w="1440" w:type="dxa"/>
            <w:tcBorders>
              <w:bottom w:val="single" w:sz="6" w:space="0" w:color="008000"/>
            </w:tcBorders>
          </w:tcPr>
          <w:p w:rsidR="00027F05" w:rsidRDefault="00027F05">
            <w:pPr>
              <w:pStyle w:val="BodyTextIndent"/>
              <w:ind w:firstLine="0"/>
              <w:rPr>
                <w:sz w:val="22"/>
                <w:szCs w:val="22"/>
              </w:rPr>
            </w:pPr>
            <w:r>
              <w:rPr>
                <w:sz w:val="22"/>
                <w:szCs w:val="22"/>
              </w:rPr>
              <w:t>Formulation</w:t>
            </w:r>
          </w:p>
        </w:tc>
        <w:tc>
          <w:tcPr>
            <w:tcW w:w="1800" w:type="dxa"/>
            <w:tcBorders>
              <w:bottom w:val="single" w:sz="6" w:space="0" w:color="008000"/>
            </w:tcBorders>
          </w:tcPr>
          <w:p w:rsidR="00027F05" w:rsidRDefault="00027F05">
            <w:pPr>
              <w:pStyle w:val="BodyTextIndent"/>
              <w:ind w:firstLine="0"/>
              <w:rPr>
                <w:sz w:val="22"/>
                <w:szCs w:val="22"/>
              </w:rPr>
            </w:pPr>
            <w:r>
              <w:rPr>
                <w:sz w:val="22"/>
                <w:szCs w:val="22"/>
              </w:rPr>
              <w:t>Collection</w:t>
            </w:r>
          </w:p>
        </w:tc>
        <w:tc>
          <w:tcPr>
            <w:tcW w:w="1620" w:type="dxa"/>
            <w:tcBorders>
              <w:bottom w:val="single" w:sz="6" w:space="0" w:color="008000"/>
            </w:tcBorders>
          </w:tcPr>
          <w:p w:rsidR="00027F05" w:rsidRDefault="00027F05">
            <w:pPr>
              <w:pStyle w:val="BodyTextIndent"/>
              <w:ind w:firstLine="0"/>
              <w:rPr>
                <w:sz w:val="22"/>
                <w:szCs w:val="22"/>
              </w:rPr>
            </w:pPr>
            <w:r>
              <w:rPr>
                <w:sz w:val="22"/>
                <w:szCs w:val="22"/>
              </w:rPr>
              <w:t>Presentation</w:t>
            </w:r>
          </w:p>
        </w:tc>
        <w:tc>
          <w:tcPr>
            <w:tcW w:w="1350" w:type="dxa"/>
            <w:tcBorders>
              <w:bottom w:val="single" w:sz="6" w:space="0" w:color="008000"/>
            </w:tcBorders>
          </w:tcPr>
          <w:p w:rsidR="00027F05" w:rsidRDefault="00027F05">
            <w:pPr>
              <w:pStyle w:val="BodyTextIndent"/>
              <w:ind w:firstLine="0"/>
              <w:rPr>
                <w:sz w:val="22"/>
                <w:szCs w:val="22"/>
              </w:rPr>
            </w:pPr>
            <w:r>
              <w:rPr>
                <w:sz w:val="22"/>
                <w:szCs w:val="22"/>
              </w:rPr>
              <w:t>Assessment</w:t>
            </w:r>
          </w:p>
        </w:tc>
      </w:tr>
      <w:tr w:rsidR="00027F05">
        <w:tc>
          <w:tcPr>
            <w:tcW w:w="1350" w:type="dxa"/>
            <w:tcBorders>
              <w:top w:val="single" w:sz="6" w:space="0" w:color="008000"/>
            </w:tcBorders>
          </w:tcPr>
          <w:p w:rsidR="00027F05" w:rsidRDefault="00027F05">
            <w:pPr>
              <w:pStyle w:val="BodyTextIndent"/>
              <w:ind w:firstLine="0"/>
            </w:pPr>
          </w:p>
          <w:p w:rsidR="00027F05" w:rsidRDefault="00027F05">
            <w:pPr>
              <w:pStyle w:val="BodyTextIndent"/>
              <w:ind w:firstLine="0"/>
              <w:rPr>
                <w:sz w:val="22"/>
                <w:szCs w:val="22"/>
              </w:rPr>
            </w:pPr>
            <w:r>
              <w:rPr>
                <w:sz w:val="22"/>
                <w:szCs w:val="22"/>
              </w:rPr>
              <w:t>Feelings</w:t>
            </w:r>
          </w:p>
          <w:p w:rsidR="00027F05" w:rsidRDefault="00027F05">
            <w:pPr>
              <w:pStyle w:val="BodyTextIndent"/>
              <w:ind w:firstLine="0"/>
            </w:pPr>
            <w:r>
              <w:rPr>
                <w:sz w:val="22"/>
                <w:szCs w:val="22"/>
              </w:rPr>
              <w:t>(Affective)</w:t>
            </w:r>
          </w:p>
        </w:tc>
        <w:tc>
          <w:tcPr>
            <w:tcW w:w="1260" w:type="dxa"/>
            <w:tcBorders>
              <w:top w:val="single" w:sz="6" w:space="0" w:color="008000"/>
            </w:tcBorders>
          </w:tcPr>
          <w:p w:rsidR="00027F05" w:rsidRDefault="00027F05">
            <w:pPr>
              <w:pStyle w:val="BodyTextIndent"/>
              <w:ind w:firstLine="0"/>
              <w:rPr>
                <w:sz w:val="20"/>
              </w:rPr>
            </w:pPr>
          </w:p>
          <w:p w:rsidR="00027F05" w:rsidRDefault="00027F05">
            <w:pPr>
              <w:pStyle w:val="BodyTextIndent"/>
              <w:ind w:firstLine="0"/>
              <w:rPr>
                <w:sz w:val="20"/>
              </w:rPr>
            </w:pPr>
            <w:r>
              <w:rPr>
                <w:sz w:val="20"/>
              </w:rPr>
              <w:t>Uncertainty</w:t>
            </w:r>
          </w:p>
        </w:tc>
        <w:tc>
          <w:tcPr>
            <w:tcW w:w="1080" w:type="dxa"/>
            <w:tcBorders>
              <w:top w:val="single" w:sz="6" w:space="0" w:color="008000"/>
            </w:tcBorders>
          </w:tcPr>
          <w:p w:rsidR="00027F05" w:rsidRDefault="00027F05">
            <w:pPr>
              <w:pStyle w:val="BodyTextIndent"/>
              <w:ind w:firstLine="0"/>
              <w:rPr>
                <w:sz w:val="20"/>
              </w:rPr>
            </w:pPr>
          </w:p>
          <w:p w:rsidR="00027F05" w:rsidRDefault="00027F05">
            <w:pPr>
              <w:pStyle w:val="BodyTextIndent"/>
              <w:ind w:firstLine="0"/>
              <w:rPr>
                <w:sz w:val="20"/>
              </w:rPr>
            </w:pPr>
            <w:r>
              <w:rPr>
                <w:sz w:val="20"/>
              </w:rPr>
              <w:t>Optimism</w:t>
            </w:r>
          </w:p>
        </w:tc>
        <w:tc>
          <w:tcPr>
            <w:tcW w:w="1260" w:type="dxa"/>
            <w:tcBorders>
              <w:top w:val="single" w:sz="6" w:space="0" w:color="008000"/>
            </w:tcBorders>
          </w:tcPr>
          <w:p w:rsidR="00027F05" w:rsidRDefault="00027F05">
            <w:pPr>
              <w:pStyle w:val="BodyTextIndent"/>
              <w:ind w:firstLine="0"/>
              <w:rPr>
                <w:sz w:val="20"/>
              </w:rPr>
            </w:pPr>
          </w:p>
          <w:p w:rsidR="00027F05" w:rsidRDefault="00027F05">
            <w:pPr>
              <w:pStyle w:val="BodyTextIndent"/>
              <w:ind w:firstLine="0"/>
              <w:rPr>
                <w:sz w:val="20"/>
              </w:rPr>
            </w:pPr>
            <w:r>
              <w:rPr>
                <w:sz w:val="20"/>
              </w:rPr>
              <w:t>Confusion</w:t>
            </w:r>
          </w:p>
          <w:p w:rsidR="00027F05" w:rsidRDefault="00027F05">
            <w:pPr>
              <w:pStyle w:val="BodyTextIndent"/>
              <w:ind w:firstLine="0"/>
              <w:rPr>
                <w:sz w:val="20"/>
              </w:rPr>
            </w:pPr>
            <w:r>
              <w:rPr>
                <w:sz w:val="20"/>
              </w:rPr>
              <w:t>Frustration</w:t>
            </w:r>
          </w:p>
          <w:p w:rsidR="00027F05" w:rsidRDefault="00027F05">
            <w:pPr>
              <w:pStyle w:val="BodyTextIndent"/>
              <w:ind w:firstLine="0"/>
              <w:rPr>
                <w:sz w:val="20"/>
              </w:rPr>
            </w:pPr>
            <w:r>
              <w:rPr>
                <w:sz w:val="20"/>
              </w:rPr>
              <w:t>Doubt</w:t>
            </w:r>
          </w:p>
          <w:p w:rsidR="00027F05" w:rsidRDefault="00027F05">
            <w:pPr>
              <w:pStyle w:val="BodyTextIndent"/>
              <w:ind w:firstLine="0"/>
              <w:rPr>
                <w:sz w:val="20"/>
              </w:rPr>
            </w:pPr>
          </w:p>
        </w:tc>
        <w:tc>
          <w:tcPr>
            <w:tcW w:w="1440" w:type="dxa"/>
            <w:tcBorders>
              <w:top w:val="single" w:sz="6" w:space="0" w:color="008000"/>
            </w:tcBorders>
          </w:tcPr>
          <w:p w:rsidR="00027F05" w:rsidRDefault="00027F05">
            <w:pPr>
              <w:pStyle w:val="BodyTextIndent"/>
              <w:ind w:firstLine="0"/>
              <w:rPr>
                <w:sz w:val="20"/>
              </w:rPr>
            </w:pPr>
          </w:p>
          <w:p w:rsidR="00027F05" w:rsidRDefault="00027F05">
            <w:pPr>
              <w:pStyle w:val="BodyTextIndent"/>
              <w:ind w:firstLine="0"/>
              <w:rPr>
                <w:sz w:val="20"/>
              </w:rPr>
            </w:pPr>
            <w:r>
              <w:rPr>
                <w:sz w:val="20"/>
              </w:rPr>
              <w:t>Clarity</w:t>
            </w:r>
          </w:p>
        </w:tc>
        <w:tc>
          <w:tcPr>
            <w:tcW w:w="1800" w:type="dxa"/>
            <w:tcBorders>
              <w:top w:val="single" w:sz="6" w:space="0" w:color="008000"/>
            </w:tcBorders>
          </w:tcPr>
          <w:p w:rsidR="00027F05" w:rsidRDefault="00027F05">
            <w:pPr>
              <w:pStyle w:val="BodyTextIndent"/>
              <w:ind w:firstLine="0"/>
              <w:rPr>
                <w:sz w:val="20"/>
              </w:rPr>
            </w:pPr>
          </w:p>
          <w:p w:rsidR="00027F05" w:rsidRDefault="00027F05">
            <w:pPr>
              <w:pStyle w:val="BodyTextIndent"/>
              <w:ind w:firstLine="0"/>
              <w:rPr>
                <w:sz w:val="20"/>
              </w:rPr>
            </w:pPr>
            <w:r>
              <w:rPr>
                <w:sz w:val="20"/>
              </w:rPr>
              <w:t>Sense of direction /</w:t>
            </w:r>
          </w:p>
          <w:p w:rsidR="00027F05" w:rsidRDefault="00027F05">
            <w:pPr>
              <w:pStyle w:val="BodyTextIndent"/>
              <w:ind w:firstLine="0"/>
              <w:rPr>
                <w:sz w:val="20"/>
              </w:rPr>
            </w:pPr>
            <w:r>
              <w:rPr>
                <w:sz w:val="20"/>
              </w:rPr>
              <w:t>Confidence</w:t>
            </w:r>
          </w:p>
        </w:tc>
        <w:tc>
          <w:tcPr>
            <w:tcW w:w="1620" w:type="dxa"/>
            <w:tcBorders>
              <w:top w:val="single" w:sz="6" w:space="0" w:color="008000"/>
            </w:tcBorders>
          </w:tcPr>
          <w:p w:rsidR="00027F05" w:rsidRDefault="00027F05">
            <w:pPr>
              <w:pStyle w:val="BodyTextIndent"/>
              <w:ind w:firstLine="0"/>
              <w:rPr>
                <w:sz w:val="20"/>
              </w:rPr>
            </w:pPr>
          </w:p>
          <w:p w:rsidR="00027F05" w:rsidRDefault="00027F05">
            <w:pPr>
              <w:pStyle w:val="BodyTextIndent"/>
              <w:ind w:firstLine="0"/>
              <w:rPr>
                <w:sz w:val="20"/>
              </w:rPr>
            </w:pPr>
            <w:r>
              <w:rPr>
                <w:sz w:val="20"/>
              </w:rPr>
              <w:t>Satisfaction or</w:t>
            </w:r>
          </w:p>
          <w:p w:rsidR="00027F05" w:rsidRDefault="00027F05">
            <w:pPr>
              <w:pStyle w:val="BodyTextIndent"/>
              <w:ind w:firstLine="0"/>
              <w:rPr>
                <w:sz w:val="20"/>
              </w:rPr>
            </w:pPr>
            <w:r>
              <w:rPr>
                <w:sz w:val="20"/>
              </w:rPr>
              <w:t>Disappointment</w:t>
            </w:r>
          </w:p>
        </w:tc>
        <w:tc>
          <w:tcPr>
            <w:tcW w:w="1350" w:type="dxa"/>
            <w:tcBorders>
              <w:top w:val="single" w:sz="6" w:space="0" w:color="008000"/>
            </w:tcBorders>
          </w:tcPr>
          <w:p w:rsidR="00027F05" w:rsidRDefault="00027F05">
            <w:pPr>
              <w:pStyle w:val="BodyTextIndent"/>
              <w:ind w:firstLine="0"/>
              <w:rPr>
                <w:sz w:val="20"/>
              </w:rPr>
            </w:pPr>
          </w:p>
          <w:p w:rsidR="00027F05" w:rsidRDefault="00027F05">
            <w:pPr>
              <w:pStyle w:val="BodyTextIndent"/>
              <w:ind w:firstLine="0"/>
              <w:rPr>
                <w:sz w:val="20"/>
              </w:rPr>
            </w:pPr>
            <w:r>
              <w:rPr>
                <w:sz w:val="20"/>
              </w:rPr>
              <w:t>Sense of accomplish-</w:t>
            </w:r>
            <w:proofErr w:type="spellStart"/>
            <w:r>
              <w:rPr>
                <w:sz w:val="20"/>
              </w:rPr>
              <w:t>ment</w:t>
            </w:r>
            <w:proofErr w:type="spellEnd"/>
            <w:r>
              <w:rPr>
                <w:sz w:val="20"/>
              </w:rPr>
              <w:t xml:space="preserve"> </w:t>
            </w:r>
          </w:p>
          <w:p w:rsidR="00027F05" w:rsidRDefault="00027F05">
            <w:pPr>
              <w:pStyle w:val="BodyTextIndent"/>
              <w:ind w:firstLine="0"/>
              <w:rPr>
                <w:sz w:val="20"/>
              </w:rPr>
            </w:pPr>
          </w:p>
          <w:p w:rsidR="00027F05" w:rsidRDefault="00027F05">
            <w:pPr>
              <w:pStyle w:val="BodyTextIndent"/>
              <w:ind w:firstLine="0"/>
              <w:rPr>
                <w:sz w:val="20"/>
              </w:rPr>
            </w:pPr>
          </w:p>
        </w:tc>
      </w:tr>
      <w:tr w:rsidR="00027F05">
        <w:tc>
          <w:tcPr>
            <w:tcW w:w="1350" w:type="dxa"/>
          </w:tcPr>
          <w:p w:rsidR="00027F05" w:rsidRDefault="00027F05">
            <w:pPr>
              <w:pStyle w:val="BodyTextIndent"/>
              <w:ind w:firstLine="0"/>
            </w:pPr>
          </w:p>
          <w:p w:rsidR="00027F05" w:rsidRDefault="00027F05">
            <w:pPr>
              <w:pStyle w:val="BodyTextIndent"/>
              <w:ind w:firstLine="0"/>
              <w:rPr>
                <w:sz w:val="22"/>
                <w:szCs w:val="22"/>
              </w:rPr>
            </w:pPr>
            <w:r>
              <w:rPr>
                <w:sz w:val="22"/>
                <w:szCs w:val="22"/>
              </w:rPr>
              <w:t>Thoughts</w:t>
            </w:r>
          </w:p>
          <w:p w:rsidR="00027F05" w:rsidRDefault="00027F05">
            <w:pPr>
              <w:pStyle w:val="BodyTextIndent"/>
              <w:ind w:firstLine="0"/>
              <w:rPr>
                <w:sz w:val="22"/>
                <w:szCs w:val="22"/>
              </w:rPr>
            </w:pPr>
            <w:r>
              <w:rPr>
                <w:sz w:val="22"/>
                <w:szCs w:val="22"/>
              </w:rPr>
              <w:t>(Cognitive)</w:t>
            </w:r>
          </w:p>
          <w:p w:rsidR="00027F05" w:rsidRDefault="00027F05">
            <w:pPr>
              <w:pStyle w:val="BodyTextIndent"/>
              <w:ind w:firstLine="0"/>
            </w:pPr>
          </w:p>
        </w:tc>
        <w:tc>
          <w:tcPr>
            <w:tcW w:w="1260" w:type="dxa"/>
          </w:tcPr>
          <w:p w:rsidR="00027F05" w:rsidRDefault="00027F05">
            <w:pPr>
              <w:pStyle w:val="BodyTextIndent"/>
              <w:ind w:firstLine="0"/>
              <w:rPr>
                <w:sz w:val="20"/>
              </w:rPr>
            </w:pPr>
          </w:p>
          <w:p w:rsidR="00027F05" w:rsidRDefault="001A052C">
            <w:pPr>
              <w:pStyle w:val="BodyTextIndent"/>
              <w:ind w:firstLine="0"/>
              <w:rPr>
                <w:sz w:val="20"/>
              </w:rPr>
            </w:pPr>
            <w:r>
              <w:rPr>
                <w:noProof/>
                <w:sz w:val="20"/>
              </w:rPr>
              <w:pict>
                <v:line id="_x0000_s1026" style="position:absolute;z-index:251660288" from="30.6pt,5.55pt" to="171.6pt,5.55pt">
                  <v:stroke endarrow="classic" endarrowlength="long"/>
                </v:line>
              </w:pict>
            </w:r>
            <w:proofErr w:type="gramStart"/>
            <w:r w:rsidR="00027F05">
              <w:rPr>
                <w:sz w:val="20"/>
              </w:rPr>
              <w:t>vague</w:t>
            </w:r>
            <w:proofErr w:type="gramEnd"/>
          </w:p>
        </w:tc>
        <w:tc>
          <w:tcPr>
            <w:tcW w:w="1080" w:type="dxa"/>
          </w:tcPr>
          <w:p w:rsidR="00027F05" w:rsidRDefault="00027F05">
            <w:pPr>
              <w:pStyle w:val="BodyTextIndent"/>
              <w:ind w:firstLine="0"/>
              <w:rPr>
                <w:sz w:val="20"/>
              </w:rPr>
            </w:pPr>
          </w:p>
        </w:tc>
        <w:tc>
          <w:tcPr>
            <w:tcW w:w="1260" w:type="dxa"/>
          </w:tcPr>
          <w:p w:rsidR="00027F05" w:rsidRDefault="00027F05">
            <w:pPr>
              <w:pStyle w:val="BodyTextIndent"/>
              <w:ind w:firstLine="0"/>
              <w:rPr>
                <w:sz w:val="20"/>
              </w:rPr>
            </w:pPr>
          </w:p>
        </w:tc>
        <w:tc>
          <w:tcPr>
            <w:tcW w:w="1440" w:type="dxa"/>
          </w:tcPr>
          <w:p w:rsidR="00027F05" w:rsidRDefault="00027F05">
            <w:pPr>
              <w:pStyle w:val="BodyTextIndent"/>
              <w:ind w:firstLine="0"/>
              <w:rPr>
                <w:sz w:val="20"/>
              </w:rPr>
            </w:pPr>
          </w:p>
          <w:p w:rsidR="00027F05" w:rsidRDefault="001A052C">
            <w:pPr>
              <w:pStyle w:val="BodyTextIndent"/>
              <w:ind w:firstLine="0"/>
              <w:rPr>
                <w:sz w:val="20"/>
              </w:rPr>
            </w:pPr>
            <w:r>
              <w:rPr>
                <w:noProof/>
                <w:sz w:val="20"/>
              </w:rPr>
              <w:pict>
                <v:line id="_x0000_s1027" style="position:absolute;z-index:251661312" from="9.1pt,14.6pt" to="183.1pt,14.6pt">
                  <v:stroke endarrow="classic" endarrowlength="long"/>
                </v:line>
              </w:pict>
            </w:r>
            <w:proofErr w:type="gramStart"/>
            <w:r w:rsidR="00027F05">
              <w:rPr>
                <w:sz w:val="20"/>
              </w:rPr>
              <w:t>focused</w:t>
            </w:r>
            <w:proofErr w:type="gramEnd"/>
          </w:p>
        </w:tc>
        <w:tc>
          <w:tcPr>
            <w:tcW w:w="1800" w:type="dxa"/>
          </w:tcPr>
          <w:p w:rsidR="00027F05" w:rsidRDefault="00027F05">
            <w:pPr>
              <w:pStyle w:val="BodyTextIndent"/>
              <w:ind w:firstLine="0"/>
              <w:rPr>
                <w:sz w:val="20"/>
              </w:rPr>
            </w:pPr>
            <w:r>
              <w:rPr>
                <w:sz w:val="20"/>
              </w:rPr>
              <w:t xml:space="preserve">   </w:t>
            </w:r>
          </w:p>
          <w:p w:rsidR="00027F05" w:rsidRDefault="00027F05">
            <w:pPr>
              <w:pStyle w:val="BodyTextIndent"/>
              <w:ind w:firstLine="0"/>
              <w:rPr>
                <w:sz w:val="20"/>
              </w:rPr>
            </w:pPr>
          </w:p>
          <w:p w:rsidR="00027F05" w:rsidRDefault="00027F05">
            <w:pPr>
              <w:pStyle w:val="BodyTextIndent"/>
              <w:ind w:firstLine="0"/>
              <w:rPr>
                <w:sz w:val="20"/>
              </w:rPr>
            </w:pPr>
            <w:r>
              <w:rPr>
                <w:sz w:val="20"/>
              </w:rPr>
              <w:t xml:space="preserve">          </w:t>
            </w:r>
          </w:p>
          <w:p w:rsidR="00027F05" w:rsidRDefault="00027F05" w:rsidP="001270EB">
            <w:pPr>
              <w:pStyle w:val="BodyTextIndent"/>
              <w:ind w:firstLine="252"/>
              <w:rPr>
                <w:sz w:val="20"/>
              </w:rPr>
            </w:pPr>
            <w:r>
              <w:rPr>
                <w:sz w:val="20"/>
              </w:rPr>
              <w:t xml:space="preserve">           </w:t>
            </w:r>
            <w:proofErr w:type="gramStart"/>
            <w:r>
              <w:rPr>
                <w:sz w:val="20"/>
              </w:rPr>
              <w:t>increased</w:t>
            </w:r>
            <w:proofErr w:type="gramEnd"/>
          </w:p>
        </w:tc>
        <w:tc>
          <w:tcPr>
            <w:tcW w:w="1620" w:type="dxa"/>
          </w:tcPr>
          <w:p w:rsidR="00027F05" w:rsidRDefault="00027F05">
            <w:pPr>
              <w:pStyle w:val="BodyTextIndent"/>
              <w:ind w:firstLine="0"/>
              <w:rPr>
                <w:sz w:val="20"/>
              </w:rPr>
            </w:pPr>
          </w:p>
          <w:p w:rsidR="00027F05" w:rsidRDefault="00027F05">
            <w:pPr>
              <w:pStyle w:val="BodyTextIndent"/>
              <w:ind w:firstLine="0"/>
              <w:rPr>
                <w:sz w:val="20"/>
              </w:rPr>
            </w:pPr>
          </w:p>
          <w:p w:rsidR="00027F05" w:rsidRDefault="00027F05">
            <w:pPr>
              <w:pStyle w:val="BodyTextIndent"/>
              <w:ind w:firstLine="0"/>
              <w:rPr>
                <w:sz w:val="20"/>
              </w:rPr>
            </w:pPr>
          </w:p>
          <w:p w:rsidR="00027F05" w:rsidRDefault="00027F05">
            <w:pPr>
              <w:pStyle w:val="BodyTextIndent"/>
              <w:ind w:firstLine="0"/>
              <w:rPr>
                <w:sz w:val="20"/>
              </w:rPr>
            </w:pPr>
            <w:proofErr w:type="gramStart"/>
            <w:r>
              <w:rPr>
                <w:sz w:val="20"/>
              </w:rPr>
              <w:t>interest</w:t>
            </w:r>
            <w:proofErr w:type="gramEnd"/>
          </w:p>
        </w:tc>
        <w:tc>
          <w:tcPr>
            <w:tcW w:w="1350" w:type="dxa"/>
          </w:tcPr>
          <w:p w:rsidR="00027F05" w:rsidRDefault="00027F05">
            <w:pPr>
              <w:pStyle w:val="BodyTextIndent"/>
              <w:ind w:firstLine="0"/>
              <w:rPr>
                <w:sz w:val="20"/>
              </w:rPr>
            </w:pPr>
          </w:p>
          <w:p w:rsidR="00027F05" w:rsidRDefault="00027F05">
            <w:pPr>
              <w:pStyle w:val="BodyTextIndent"/>
              <w:ind w:firstLine="0"/>
              <w:rPr>
                <w:sz w:val="20"/>
              </w:rPr>
            </w:pPr>
            <w:r>
              <w:rPr>
                <w:sz w:val="20"/>
              </w:rPr>
              <w:t>Increased self- awareness</w:t>
            </w:r>
          </w:p>
          <w:p w:rsidR="00027F05" w:rsidRDefault="00027F05">
            <w:pPr>
              <w:pStyle w:val="BodyTextIndent"/>
              <w:ind w:firstLine="0"/>
              <w:rPr>
                <w:sz w:val="20"/>
              </w:rPr>
            </w:pPr>
          </w:p>
          <w:p w:rsidR="00027F05" w:rsidRDefault="00027F05">
            <w:pPr>
              <w:pStyle w:val="BodyTextIndent"/>
              <w:ind w:firstLine="0"/>
              <w:rPr>
                <w:sz w:val="20"/>
              </w:rPr>
            </w:pPr>
          </w:p>
        </w:tc>
      </w:tr>
      <w:tr w:rsidR="00027F05">
        <w:tc>
          <w:tcPr>
            <w:tcW w:w="1350" w:type="dxa"/>
          </w:tcPr>
          <w:p w:rsidR="00027F05" w:rsidRDefault="00027F05">
            <w:pPr>
              <w:pStyle w:val="BodyTextIndent"/>
              <w:ind w:firstLine="0"/>
            </w:pPr>
          </w:p>
          <w:p w:rsidR="00027F05" w:rsidRDefault="00027F05">
            <w:pPr>
              <w:pStyle w:val="BodyTextIndent"/>
              <w:ind w:firstLine="0"/>
              <w:rPr>
                <w:sz w:val="22"/>
                <w:szCs w:val="22"/>
              </w:rPr>
            </w:pPr>
            <w:r>
              <w:rPr>
                <w:sz w:val="22"/>
                <w:szCs w:val="22"/>
              </w:rPr>
              <w:t>Actions</w:t>
            </w:r>
          </w:p>
          <w:p w:rsidR="00027F05" w:rsidRDefault="00027F05">
            <w:pPr>
              <w:pStyle w:val="BodyTextIndent"/>
              <w:ind w:firstLine="0"/>
            </w:pPr>
            <w:r>
              <w:rPr>
                <w:sz w:val="22"/>
                <w:szCs w:val="22"/>
              </w:rPr>
              <w:t>(Physical)</w:t>
            </w:r>
          </w:p>
        </w:tc>
        <w:tc>
          <w:tcPr>
            <w:tcW w:w="1260" w:type="dxa"/>
          </w:tcPr>
          <w:p w:rsidR="00027F05" w:rsidRDefault="00027F05">
            <w:pPr>
              <w:pStyle w:val="BodyTextIndent"/>
              <w:ind w:firstLine="0"/>
              <w:rPr>
                <w:sz w:val="20"/>
              </w:rPr>
            </w:pPr>
            <w:r>
              <w:rPr>
                <w:sz w:val="20"/>
              </w:rPr>
              <w:t xml:space="preserve">       </w:t>
            </w:r>
          </w:p>
          <w:p w:rsidR="00027F05" w:rsidRDefault="00027F05">
            <w:pPr>
              <w:pStyle w:val="BodyTextIndent"/>
              <w:ind w:firstLine="0"/>
              <w:rPr>
                <w:sz w:val="20"/>
              </w:rPr>
            </w:pPr>
            <w:r>
              <w:rPr>
                <w:sz w:val="20"/>
              </w:rPr>
              <w:t xml:space="preserve">       Seeking</w:t>
            </w:r>
          </w:p>
        </w:tc>
        <w:tc>
          <w:tcPr>
            <w:tcW w:w="1080" w:type="dxa"/>
          </w:tcPr>
          <w:p w:rsidR="00027F05" w:rsidRDefault="00027F05">
            <w:pPr>
              <w:pStyle w:val="BodyTextIndent"/>
              <w:ind w:firstLine="0"/>
              <w:rPr>
                <w:sz w:val="20"/>
              </w:rPr>
            </w:pPr>
          </w:p>
          <w:p w:rsidR="00027F05" w:rsidRDefault="00027F05">
            <w:pPr>
              <w:pStyle w:val="BodyTextIndent"/>
              <w:ind w:firstLine="0"/>
              <w:rPr>
                <w:sz w:val="20"/>
              </w:rPr>
            </w:pPr>
            <w:r>
              <w:rPr>
                <w:sz w:val="20"/>
              </w:rPr>
              <w:t xml:space="preserve">Relevant </w:t>
            </w:r>
          </w:p>
          <w:p w:rsidR="00027F05" w:rsidRDefault="001A052C">
            <w:pPr>
              <w:pStyle w:val="BodyTextIndent"/>
              <w:ind w:firstLine="0"/>
              <w:rPr>
                <w:sz w:val="20"/>
              </w:rPr>
            </w:pPr>
            <w:r>
              <w:rPr>
                <w:noProof/>
                <w:sz w:val="20"/>
              </w:rPr>
              <w:pict>
                <v:line id="_x0000_s1028" style="position:absolute;z-index:251662336" from="49.05pt,10.75pt" to="193.05pt,10.75pt">
                  <v:stroke endarrow="classic" endarrowlength="long"/>
                </v:line>
              </w:pict>
            </w:r>
            <w:r w:rsidR="00027F05">
              <w:rPr>
                <w:sz w:val="20"/>
              </w:rPr>
              <w:t>Exploring</w:t>
            </w:r>
          </w:p>
        </w:tc>
        <w:tc>
          <w:tcPr>
            <w:tcW w:w="1260" w:type="dxa"/>
          </w:tcPr>
          <w:p w:rsidR="00027F05" w:rsidRDefault="00027F05">
            <w:pPr>
              <w:pStyle w:val="BodyTextIndent"/>
              <w:ind w:firstLine="0"/>
              <w:rPr>
                <w:sz w:val="20"/>
              </w:rPr>
            </w:pPr>
          </w:p>
          <w:p w:rsidR="00027F05" w:rsidRDefault="00027F05">
            <w:pPr>
              <w:pStyle w:val="BodyTextIndent"/>
              <w:ind w:firstLine="0"/>
              <w:rPr>
                <w:sz w:val="20"/>
              </w:rPr>
            </w:pPr>
            <w:r>
              <w:rPr>
                <w:sz w:val="20"/>
              </w:rPr>
              <w:t>Information</w:t>
            </w:r>
          </w:p>
        </w:tc>
        <w:tc>
          <w:tcPr>
            <w:tcW w:w="1440" w:type="dxa"/>
          </w:tcPr>
          <w:p w:rsidR="00027F05" w:rsidRDefault="00027F05">
            <w:pPr>
              <w:pStyle w:val="BodyTextIndent"/>
              <w:ind w:firstLine="0"/>
              <w:rPr>
                <w:sz w:val="20"/>
              </w:rPr>
            </w:pPr>
          </w:p>
          <w:p w:rsidR="00027F05" w:rsidRDefault="00027F05">
            <w:pPr>
              <w:pStyle w:val="BodyTextIndent"/>
              <w:ind w:firstLine="0"/>
              <w:rPr>
                <w:sz w:val="20"/>
              </w:rPr>
            </w:pPr>
            <w:r>
              <w:rPr>
                <w:sz w:val="20"/>
              </w:rPr>
              <w:t xml:space="preserve">           Seeking</w:t>
            </w:r>
          </w:p>
        </w:tc>
        <w:tc>
          <w:tcPr>
            <w:tcW w:w="1800" w:type="dxa"/>
          </w:tcPr>
          <w:p w:rsidR="00027F05" w:rsidRDefault="00027F05">
            <w:pPr>
              <w:pStyle w:val="BodyTextIndent"/>
              <w:ind w:firstLine="0"/>
              <w:rPr>
                <w:sz w:val="20"/>
              </w:rPr>
            </w:pPr>
          </w:p>
          <w:p w:rsidR="00027F05" w:rsidRDefault="00027F05">
            <w:pPr>
              <w:pStyle w:val="BodyTextIndent"/>
              <w:ind w:firstLine="0"/>
              <w:rPr>
                <w:sz w:val="20"/>
              </w:rPr>
            </w:pPr>
            <w:r>
              <w:rPr>
                <w:sz w:val="20"/>
              </w:rPr>
              <w:t xml:space="preserve">      Pertinent </w:t>
            </w:r>
          </w:p>
          <w:p w:rsidR="00027F05" w:rsidRDefault="00027F05">
            <w:pPr>
              <w:pStyle w:val="BodyTextIndent"/>
              <w:ind w:firstLine="0"/>
              <w:rPr>
                <w:sz w:val="20"/>
              </w:rPr>
            </w:pPr>
            <w:r>
              <w:rPr>
                <w:sz w:val="20"/>
              </w:rPr>
              <w:t>Documenting</w:t>
            </w:r>
          </w:p>
        </w:tc>
        <w:tc>
          <w:tcPr>
            <w:tcW w:w="1620" w:type="dxa"/>
          </w:tcPr>
          <w:p w:rsidR="00027F05" w:rsidRDefault="00027F05">
            <w:pPr>
              <w:pStyle w:val="BodyTextIndent"/>
              <w:ind w:firstLine="0"/>
              <w:rPr>
                <w:sz w:val="20"/>
              </w:rPr>
            </w:pPr>
          </w:p>
          <w:p w:rsidR="00027F05" w:rsidRDefault="00027F05">
            <w:pPr>
              <w:pStyle w:val="BodyTextIndent"/>
              <w:ind w:firstLine="0"/>
              <w:rPr>
                <w:sz w:val="20"/>
              </w:rPr>
            </w:pPr>
            <w:r>
              <w:rPr>
                <w:sz w:val="20"/>
              </w:rPr>
              <w:t>Information</w:t>
            </w:r>
          </w:p>
          <w:p w:rsidR="00027F05" w:rsidRDefault="00027F05">
            <w:pPr>
              <w:pStyle w:val="BodyTextIndent"/>
              <w:ind w:firstLine="0"/>
              <w:rPr>
                <w:sz w:val="20"/>
              </w:rPr>
            </w:pPr>
          </w:p>
          <w:p w:rsidR="00027F05" w:rsidRDefault="00027F05">
            <w:pPr>
              <w:pStyle w:val="BodyTextIndent"/>
              <w:ind w:firstLine="0"/>
              <w:rPr>
                <w:sz w:val="20"/>
              </w:rPr>
            </w:pPr>
          </w:p>
        </w:tc>
        <w:tc>
          <w:tcPr>
            <w:tcW w:w="1350" w:type="dxa"/>
          </w:tcPr>
          <w:p w:rsidR="00027F05" w:rsidRDefault="00027F05">
            <w:pPr>
              <w:pStyle w:val="BodyTextIndent"/>
              <w:ind w:firstLine="0"/>
              <w:rPr>
                <w:sz w:val="20"/>
              </w:rPr>
            </w:pPr>
          </w:p>
          <w:p w:rsidR="00027F05" w:rsidRDefault="00027F05">
            <w:pPr>
              <w:pStyle w:val="BodyTextIndent"/>
              <w:ind w:firstLine="0"/>
              <w:rPr>
                <w:sz w:val="20"/>
              </w:rPr>
            </w:pPr>
          </w:p>
          <w:p w:rsidR="00027F05" w:rsidRDefault="00027F05">
            <w:pPr>
              <w:pStyle w:val="BodyTextIndent"/>
              <w:ind w:firstLine="0"/>
              <w:rPr>
                <w:sz w:val="20"/>
              </w:rPr>
            </w:pPr>
          </w:p>
        </w:tc>
      </w:tr>
    </w:tbl>
    <w:p w:rsidR="00027F05" w:rsidRDefault="00027F05" w:rsidP="00027F05">
      <w:pPr>
        <w:pStyle w:val="BodyTextIndent"/>
      </w:pPr>
      <w:r>
        <w:tab/>
      </w:r>
      <w:r>
        <w:tab/>
      </w:r>
      <w:r>
        <w:tab/>
      </w:r>
      <w:r>
        <w:tab/>
      </w:r>
      <w:r>
        <w:tab/>
        <w:t>(Kuhlthau, Seeking Meaning, 2004, p.  82)</w:t>
      </w:r>
    </w:p>
    <w:p w:rsidR="00027F05" w:rsidRDefault="00027F05" w:rsidP="00027F05">
      <w:pPr>
        <w:pStyle w:val="BodyTextIndent"/>
      </w:pPr>
    </w:p>
    <w:p w:rsidR="00A12EA3" w:rsidRDefault="00A12EA3">
      <w:pPr>
        <w:rPr>
          <w:rFonts w:ascii="Times New Roman" w:hAnsi="Times New Roman"/>
        </w:rPr>
      </w:pPr>
    </w:p>
    <w:p w:rsidR="00BA3736" w:rsidRPr="00A12EA3" w:rsidRDefault="00BA3736">
      <w:pPr>
        <w:rPr>
          <w:rFonts w:ascii="Times New Roman" w:hAnsi="Times New Roman"/>
        </w:rPr>
      </w:pPr>
    </w:p>
    <w:sectPr w:rsidR="00BA3736" w:rsidRPr="00A12EA3" w:rsidSect="00BA373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B70F7"/>
    <w:multiLevelType w:val="hybridMultilevel"/>
    <w:tmpl w:val="18DA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2EA3"/>
    <w:rsid w:val="00027F05"/>
    <w:rsid w:val="000457C8"/>
    <w:rsid w:val="00047164"/>
    <w:rsid w:val="00054FEE"/>
    <w:rsid w:val="00097642"/>
    <w:rsid w:val="001026E3"/>
    <w:rsid w:val="0012751A"/>
    <w:rsid w:val="00172CD1"/>
    <w:rsid w:val="001A052C"/>
    <w:rsid w:val="001A35B7"/>
    <w:rsid w:val="0021033D"/>
    <w:rsid w:val="0023777F"/>
    <w:rsid w:val="002E6DFC"/>
    <w:rsid w:val="00317D57"/>
    <w:rsid w:val="00321C98"/>
    <w:rsid w:val="003A36AE"/>
    <w:rsid w:val="003C1D94"/>
    <w:rsid w:val="004937B2"/>
    <w:rsid w:val="004F25F2"/>
    <w:rsid w:val="0050682C"/>
    <w:rsid w:val="005979F0"/>
    <w:rsid w:val="005E5D03"/>
    <w:rsid w:val="006A2628"/>
    <w:rsid w:val="006C6710"/>
    <w:rsid w:val="00760722"/>
    <w:rsid w:val="00774644"/>
    <w:rsid w:val="00792CD9"/>
    <w:rsid w:val="0080015E"/>
    <w:rsid w:val="00844674"/>
    <w:rsid w:val="008B7481"/>
    <w:rsid w:val="008E75C8"/>
    <w:rsid w:val="009016F1"/>
    <w:rsid w:val="00920C74"/>
    <w:rsid w:val="009D7991"/>
    <w:rsid w:val="00A12EA3"/>
    <w:rsid w:val="00A36994"/>
    <w:rsid w:val="00A41D43"/>
    <w:rsid w:val="00A76E7B"/>
    <w:rsid w:val="00A8740E"/>
    <w:rsid w:val="00AA57E0"/>
    <w:rsid w:val="00AB4CF5"/>
    <w:rsid w:val="00AD30DC"/>
    <w:rsid w:val="00B437EE"/>
    <w:rsid w:val="00B70313"/>
    <w:rsid w:val="00BA3736"/>
    <w:rsid w:val="00BD3BDC"/>
    <w:rsid w:val="00C13546"/>
    <w:rsid w:val="00C65D89"/>
    <w:rsid w:val="00C86006"/>
    <w:rsid w:val="00CC2F6B"/>
    <w:rsid w:val="00D04CEC"/>
    <w:rsid w:val="00D31781"/>
    <w:rsid w:val="00D34FB9"/>
    <w:rsid w:val="00D403C4"/>
    <w:rsid w:val="00D6465B"/>
    <w:rsid w:val="00D86A3E"/>
    <w:rsid w:val="00D87B94"/>
    <w:rsid w:val="00E25FE0"/>
    <w:rsid w:val="00E62963"/>
    <w:rsid w:val="00EC3B66"/>
    <w:rsid w:val="00EF722F"/>
    <w:rsid w:val="00F41106"/>
    <w:rsid w:val="00FA0D3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1033D"/>
    <w:pPr>
      <w:ind w:left="720"/>
      <w:contextualSpacing/>
    </w:pPr>
  </w:style>
  <w:style w:type="paragraph" w:styleId="BodyTextIndent">
    <w:name w:val="Body Text Indent"/>
    <w:basedOn w:val="Normal"/>
    <w:link w:val="BodyTextIndentChar"/>
    <w:rsid w:val="00027F05"/>
    <w:pPr>
      <w:autoSpaceDE w:val="0"/>
      <w:autoSpaceDN w:val="0"/>
      <w:adjustRightInd w:val="0"/>
      <w:spacing w:after="0"/>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027F0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5</Pages>
  <Words>1527</Words>
  <Characters>8705</Characters>
  <Application>Microsoft Macintosh Word</Application>
  <DocSecurity>0</DocSecurity>
  <Lines>72</Lines>
  <Paragraphs>17</Paragraphs>
  <ScaleCrop>false</ScaleCrop>
  <LinksUpToDate>false</LinksUpToDate>
  <CharactersWithSpaces>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Kuhlthau</cp:lastModifiedBy>
  <cp:revision>24</cp:revision>
  <dcterms:created xsi:type="dcterms:W3CDTF">2012-01-03T20:33:00Z</dcterms:created>
  <dcterms:modified xsi:type="dcterms:W3CDTF">2012-01-18T14:40:00Z</dcterms:modified>
</cp:coreProperties>
</file>